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1" w:name="_Toc8947"/>
      <w:bookmarkStart w:id="2" w:name="_Toc15377425"/>
      <w:bookmarkStart w:id="3" w:name="_Toc15377193"/>
      <w:bookmarkStart w:id="4" w:name="_Toc15396475"/>
      <w:bookmarkStart w:id="5" w:name="_Toc15378441"/>
      <w:bookmarkStart w:id="6" w:name="_Toc15396597"/>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bookmarkEnd w:id="6"/>
      <w:bookmarkStart w:id="7" w:name="_Toc15396598"/>
      <w:bookmarkStart w:id="8" w:name="_Toc15396476"/>
      <w:bookmarkStart w:id="9" w:name="_Toc9521"/>
      <w:bookmarkStart w:id="10" w:name="_Toc15378442"/>
      <w:bookmarkStart w:id="11" w:name="_Toc15377194"/>
      <w:bookmarkStart w:id="12" w:name="_Toc15377426"/>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阿坝州</w:t>
      </w:r>
      <w:bookmarkEnd w:id="0"/>
      <w:bookmarkStart w:id="13" w:name="_Toc15306268"/>
      <w:r>
        <w:rPr>
          <w:rFonts w:hint="eastAsia" w:ascii="方正小标宋简体" w:hAnsi="宋体" w:eastAsia="方正小标宋简体"/>
          <w:color w:val="000000"/>
          <w:sz w:val="72"/>
          <w:szCs w:val="72"/>
          <w:lang w:eastAsia="zh-CN"/>
        </w:rPr>
        <w:t>供销合作社联合社</w:t>
      </w:r>
      <w:r>
        <w:rPr>
          <w:rFonts w:hint="eastAsia" w:ascii="方正小标宋简体" w:hAnsi="宋体" w:eastAsia="方正小标宋简体"/>
          <w:color w:val="000000"/>
          <w:sz w:val="72"/>
          <w:szCs w:val="72"/>
        </w:rPr>
        <w:t>部门决算</w:t>
      </w:r>
      <w:bookmarkEnd w:id="7"/>
      <w:bookmarkEnd w:id="8"/>
      <w:bookmarkEnd w:id="9"/>
      <w:bookmarkEnd w:id="10"/>
      <w:bookmarkEnd w:id="11"/>
      <w:bookmarkEnd w:id="12"/>
      <w:bookmarkEnd w:id="13"/>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1276"/>
        <w:jc w:val="left"/>
        <w:rPr>
          <w:rFonts w:eastAsia="仿宋_GB2312"/>
          <w:sz w:val="32"/>
          <w:szCs w:val="32"/>
        </w:rPr>
      </w:pPr>
      <w:r>
        <w:rPr>
          <w:rFonts w:hint="eastAsia" w:ascii="仿宋_GB2312" w:hAnsi="Calibri" w:eastAsia="仿宋_GB2312" w:cs="仿宋_GB2312"/>
          <w:sz w:val="32"/>
          <w:szCs w:val="32"/>
        </w:rPr>
        <w:t>保密审查情况：</w:t>
      </w: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部门主要负责人审签情况：</w:t>
      </w:r>
    </w:p>
    <w:p>
      <w:pPr>
        <w:widowControl/>
        <w:jc w:val="center"/>
        <w:rPr>
          <w:rFonts w:ascii="方正小标宋简体" w:hAnsi="宋体" w:eastAsia="方正小标宋简体"/>
          <w:sz w:val="36"/>
          <w:szCs w:val="36"/>
        </w:rPr>
      </w:pPr>
    </w:p>
    <w:p>
      <w:pPr>
        <w:rPr>
          <w:rFonts w:ascii="方正小标宋简体" w:hAnsi="宋体" w:eastAsia="方正小标宋简体"/>
          <w:sz w:val="36"/>
          <w:szCs w:val="36"/>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bookmarkStart w:id="14" w:name="_Toc15396599"/>
      <w:bookmarkStart w:id="15" w:name="_Toc15377196"/>
    </w:p>
    <w:p>
      <w:pPr>
        <w:pStyle w:val="10"/>
        <w:tabs>
          <w:tab w:val="right" w:leader="dot" w:pos="8306"/>
          <w:tab w:val="clear" w:pos="8296"/>
        </w:tabs>
        <w:rPr>
          <w:rFonts w:hint="eastAsia" w:ascii="黑体" w:hAnsi="黑体" w:eastAsia="黑体" w:cs="Times New Roman"/>
          <w:color w:val="000000"/>
          <w:kern w:val="2"/>
          <w:sz w:val="48"/>
          <w:szCs w:val="48"/>
          <w:lang w:val="en-US" w:eastAsia="zh-CN" w:bidi="ar-SA"/>
        </w:rPr>
      </w:pPr>
      <w:r>
        <w:rPr>
          <w:rFonts w:hint="eastAsia" w:ascii="黑体" w:hAnsi="黑体" w:eastAsia="黑体" w:cs="Times New Roman"/>
          <w:color w:val="000000"/>
          <w:kern w:val="2"/>
          <w:sz w:val="48"/>
          <w:szCs w:val="48"/>
          <w:lang w:val="en-US" w:eastAsia="zh-CN" w:bidi="ar-SA"/>
        </w:rPr>
        <w:t>目录</w:t>
      </w:r>
    </w:p>
    <w:p>
      <w:pPr>
        <w:rPr>
          <w:rFonts w:hint="eastAsia"/>
          <w:lang w:val="en-US" w:eastAsia="zh-CN"/>
        </w:rPr>
      </w:pPr>
    </w:p>
    <w:p>
      <w:pPr>
        <w:pStyle w:val="10"/>
        <w:rPr>
          <w:rFonts w:hint="eastAsia"/>
        </w:rPr>
      </w:pPr>
    </w:p>
    <w:p>
      <w:pPr>
        <w:pStyle w:val="10"/>
      </w:pPr>
      <w:r>
        <w:rPr>
          <w:rFonts w:hint="eastAsia"/>
        </w:rPr>
        <w:t>公开时间：2020年9月</w:t>
      </w:r>
      <w:r>
        <w:t>2</w:t>
      </w:r>
      <w:r>
        <w:rPr>
          <w:rFonts w:hint="eastAsia"/>
          <w:lang w:val="en-US" w:eastAsia="zh-CN"/>
        </w:rPr>
        <w:t>3</w:t>
      </w:r>
      <w:r>
        <w:rPr>
          <w:rFonts w:hint="eastAsia"/>
        </w:rPr>
        <w:t>日</w:t>
      </w:r>
      <w:r>
        <w:rPr>
          <w:rFonts w:ascii="方正小标宋简体" w:hAnsi="宋体" w:eastAsia="方正小标宋简体"/>
          <w:sz w:val="36"/>
          <w:szCs w:val="36"/>
        </w:rPr>
        <w:fldChar w:fldCharType="begin"/>
      </w:r>
      <w:r>
        <w:rPr>
          <w:rFonts w:ascii="方正小标宋简体" w:hAnsi="宋体" w:eastAsia="方正小标宋简体"/>
          <w:sz w:val="36"/>
          <w:szCs w:val="36"/>
        </w:rPr>
        <w:instrText xml:space="preserve">TOC \o "1-2" \h \u </w:instrText>
      </w:r>
      <w:r>
        <w:rPr>
          <w:rFonts w:ascii="方正小标宋简体" w:hAnsi="宋体" w:eastAsia="方正小标宋简体"/>
          <w:sz w:val="36"/>
          <w:szCs w:val="36"/>
        </w:rPr>
        <w:fldChar w:fldCharType="separate"/>
      </w:r>
    </w:p>
    <w:p>
      <w:pPr>
        <w:pStyle w:val="10"/>
        <w:tabs>
          <w:tab w:val="right" w:leader="dot" w:pos="8306"/>
          <w:tab w:val="clear" w:pos="8296"/>
        </w:tabs>
      </w:pPr>
      <w:r>
        <w:rPr>
          <w:rFonts w:ascii="方正小标宋简体" w:hAnsi="宋体" w:eastAsia="方正小标宋简体"/>
          <w:szCs w:val="36"/>
        </w:rPr>
        <w:fldChar w:fldCharType="begin"/>
      </w:r>
      <w:r>
        <w:rPr>
          <w:rFonts w:ascii="方正小标宋简体" w:hAnsi="宋体" w:eastAsia="方正小标宋简体"/>
          <w:szCs w:val="36"/>
        </w:rPr>
        <w:instrText xml:space="preserve"> HYPERLINK \l _Toc28243 </w:instrText>
      </w:r>
      <w:r>
        <w:rPr>
          <w:rFonts w:ascii="方正小标宋简体" w:hAnsi="宋体" w:eastAsia="方正小标宋简体"/>
          <w:szCs w:val="36"/>
        </w:rPr>
        <w:fldChar w:fldCharType="separate"/>
      </w:r>
      <w:r>
        <w:rPr>
          <w:rFonts w:hint="eastAsia"/>
        </w:rPr>
        <w:t>第一部分 部门概况</w:t>
      </w:r>
      <w:r>
        <w:tab/>
      </w:r>
      <w:r>
        <w:fldChar w:fldCharType="begin"/>
      </w:r>
      <w:r>
        <w:instrText xml:space="preserve"> PAGEREF _Toc28243 </w:instrText>
      </w:r>
      <w:r>
        <w:fldChar w:fldCharType="separate"/>
      </w:r>
      <w:r>
        <w:t>1</w:t>
      </w:r>
      <w:r>
        <w:fldChar w:fldCharType="end"/>
      </w:r>
      <w:r>
        <w:rPr>
          <w:rFonts w:ascii="方正小标宋简体" w:hAnsi="宋体" w:eastAsia="方正小标宋简体"/>
          <w:szCs w:val="36"/>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_Toc27017 </w:instrText>
      </w:r>
      <w:r>
        <w:rPr>
          <w:rFonts w:hint="eastAsia"/>
          <w:sz w:val="24"/>
        </w:rPr>
        <w:fldChar w:fldCharType="separate"/>
      </w:r>
      <w:r>
        <w:rPr>
          <w:rFonts w:hint="eastAsia"/>
          <w:sz w:val="24"/>
        </w:rPr>
        <w:t>一、 基本职能及主要工作</w:t>
      </w:r>
      <w:r>
        <w:rPr>
          <w:rFonts w:hint="eastAsia"/>
          <w:sz w:val="24"/>
        </w:rPr>
        <w:tab/>
      </w:r>
      <w:r>
        <w:rPr>
          <w:rFonts w:hint="eastAsia"/>
          <w:sz w:val="24"/>
        </w:rPr>
        <w:fldChar w:fldCharType="begin"/>
      </w:r>
      <w:r>
        <w:rPr>
          <w:rFonts w:hint="eastAsia"/>
          <w:sz w:val="24"/>
        </w:rPr>
        <w:instrText xml:space="preserve"> PAGEREF _Toc27017 </w:instrText>
      </w:r>
      <w:r>
        <w:rPr>
          <w:rFonts w:hint="eastAsia"/>
          <w:sz w:val="24"/>
        </w:rPr>
        <w:fldChar w:fldCharType="separate"/>
      </w:r>
      <w:r>
        <w:rPr>
          <w:rFonts w:hint="eastAsia"/>
          <w:sz w:val="24"/>
        </w:rPr>
        <w:t>1</w:t>
      </w:r>
      <w:r>
        <w:rPr>
          <w:rFonts w:hint="eastAsia"/>
          <w:sz w:val="24"/>
        </w:rPr>
        <w:fldChar w:fldCharType="end"/>
      </w:r>
      <w:r>
        <w:rPr>
          <w:rFonts w:hint="eastAsia"/>
          <w:sz w:val="24"/>
        </w:rPr>
        <w:fldChar w:fldCharType="end"/>
      </w:r>
    </w:p>
    <w:p>
      <w:pPr>
        <w:pStyle w:val="11"/>
        <w:adjustRightInd w:val="0"/>
        <w:snapToGrid w:val="0"/>
        <w:spacing w:line="440" w:lineRule="exact"/>
        <w:jc w:val="left"/>
      </w:pPr>
      <w:r>
        <w:rPr>
          <w:rFonts w:hint="eastAsia"/>
          <w:sz w:val="24"/>
        </w:rPr>
        <w:fldChar w:fldCharType="begin"/>
      </w:r>
      <w:r>
        <w:rPr>
          <w:rFonts w:hint="eastAsia"/>
          <w:sz w:val="24"/>
        </w:rPr>
        <w:instrText xml:space="preserve"> HYPERLINK \l _Toc13430 </w:instrText>
      </w:r>
      <w:r>
        <w:rPr>
          <w:rFonts w:hint="eastAsia"/>
          <w:sz w:val="24"/>
        </w:rPr>
        <w:fldChar w:fldCharType="separate"/>
      </w:r>
      <w:r>
        <w:rPr>
          <w:rFonts w:hint="eastAsia"/>
          <w:sz w:val="24"/>
        </w:rPr>
        <w:t>二、机构设置</w:t>
      </w:r>
      <w:r>
        <w:rPr>
          <w:rFonts w:hint="eastAsia"/>
          <w:sz w:val="24"/>
        </w:rPr>
        <w:tab/>
      </w:r>
      <w:r>
        <w:rPr>
          <w:rFonts w:hint="eastAsia"/>
          <w:sz w:val="24"/>
        </w:rPr>
        <w:fldChar w:fldCharType="begin"/>
      </w:r>
      <w:r>
        <w:rPr>
          <w:rFonts w:hint="eastAsia"/>
          <w:sz w:val="24"/>
        </w:rPr>
        <w:instrText xml:space="preserve"> PAGEREF _Toc13430 </w:instrText>
      </w:r>
      <w:r>
        <w:rPr>
          <w:rFonts w:hint="eastAsia"/>
          <w:sz w:val="24"/>
        </w:rPr>
        <w:fldChar w:fldCharType="separate"/>
      </w:r>
      <w:r>
        <w:rPr>
          <w:rFonts w:hint="eastAsia"/>
          <w:sz w:val="24"/>
        </w:rPr>
        <w:t>3</w:t>
      </w:r>
      <w:r>
        <w:rPr>
          <w:rFonts w:hint="eastAsia"/>
          <w:sz w:val="24"/>
        </w:rPr>
        <w:fldChar w:fldCharType="end"/>
      </w:r>
      <w:r>
        <w:rPr>
          <w:rFonts w:hint="eastAsia"/>
          <w:sz w:val="24"/>
        </w:rPr>
        <w:fldChar w:fldCharType="end"/>
      </w:r>
    </w:p>
    <w:p>
      <w:pPr>
        <w:pStyle w:val="10"/>
        <w:tabs>
          <w:tab w:val="right" w:leader="dot" w:pos="8306"/>
          <w:tab w:val="clear" w:pos="8296"/>
        </w:tabs>
        <w:rPr>
          <w:rFonts w:hint="eastAsia"/>
        </w:rPr>
      </w:pPr>
      <w:r>
        <w:rPr>
          <w:rFonts w:hint="eastAsia"/>
        </w:rPr>
        <w:fldChar w:fldCharType="begin"/>
      </w:r>
      <w:r>
        <w:rPr>
          <w:rFonts w:hint="eastAsia"/>
        </w:rPr>
        <w:instrText xml:space="preserve"> HYPERLINK \l _Toc4579 </w:instrText>
      </w:r>
      <w:r>
        <w:rPr>
          <w:rFonts w:hint="eastAsia"/>
        </w:rPr>
        <w:fldChar w:fldCharType="separate"/>
      </w:r>
      <w:r>
        <w:rPr>
          <w:rFonts w:hint="eastAsia"/>
        </w:rPr>
        <w:t>第二部分 2019年度部门决算情况说明</w:t>
      </w:r>
      <w:r>
        <w:rPr>
          <w:rFonts w:hint="eastAsia"/>
        </w:rPr>
        <w:tab/>
      </w:r>
      <w:r>
        <w:rPr>
          <w:rFonts w:hint="eastAsia"/>
        </w:rPr>
        <w:fldChar w:fldCharType="begin"/>
      </w:r>
      <w:r>
        <w:rPr>
          <w:rFonts w:hint="eastAsia"/>
        </w:rPr>
        <w:instrText xml:space="preserve"> PAGEREF _Toc4579 </w:instrText>
      </w:r>
      <w:r>
        <w:rPr>
          <w:rFonts w:hint="eastAsia"/>
        </w:rPr>
        <w:fldChar w:fldCharType="separate"/>
      </w:r>
      <w:r>
        <w:rPr>
          <w:rFonts w:hint="eastAsia"/>
        </w:rPr>
        <w:t>4</w:t>
      </w:r>
      <w:r>
        <w:rPr>
          <w:rFonts w:hint="eastAsia"/>
        </w:rPr>
        <w:fldChar w:fldCharType="end"/>
      </w:r>
      <w:r>
        <w:rPr>
          <w:rFonts w:hint="eastAsia"/>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_Toc29560 </w:instrText>
      </w:r>
      <w:r>
        <w:rPr>
          <w:rFonts w:hint="eastAsia"/>
          <w:sz w:val="24"/>
        </w:rPr>
        <w:fldChar w:fldCharType="separate"/>
      </w:r>
      <w:r>
        <w:rPr>
          <w:rFonts w:hint="default"/>
          <w:sz w:val="24"/>
        </w:rPr>
        <w:t xml:space="preserve">一、 </w:t>
      </w:r>
      <w:r>
        <w:rPr>
          <w:rFonts w:hint="eastAsia"/>
          <w:sz w:val="24"/>
        </w:rPr>
        <w:t>收入支出决算总体情况说明</w:t>
      </w:r>
      <w:r>
        <w:rPr>
          <w:rFonts w:hint="eastAsia"/>
          <w:sz w:val="24"/>
        </w:rPr>
        <w:tab/>
      </w:r>
      <w:r>
        <w:rPr>
          <w:rFonts w:hint="eastAsia"/>
          <w:sz w:val="24"/>
        </w:rPr>
        <w:fldChar w:fldCharType="begin"/>
      </w:r>
      <w:r>
        <w:rPr>
          <w:rFonts w:hint="eastAsia"/>
          <w:sz w:val="24"/>
        </w:rPr>
        <w:instrText xml:space="preserve"> PAGEREF _Toc29560 </w:instrText>
      </w:r>
      <w:r>
        <w:rPr>
          <w:rFonts w:hint="eastAsia"/>
          <w:sz w:val="24"/>
        </w:rPr>
        <w:fldChar w:fldCharType="separate"/>
      </w:r>
      <w:r>
        <w:rPr>
          <w:rFonts w:hint="eastAsia"/>
          <w:sz w:val="24"/>
        </w:rPr>
        <w:t>4</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_Toc27344 </w:instrText>
      </w:r>
      <w:r>
        <w:rPr>
          <w:rFonts w:hint="eastAsia"/>
          <w:sz w:val="24"/>
        </w:rPr>
        <w:fldChar w:fldCharType="separate"/>
      </w:r>
      <w:r>
        <w:rPr>
          <w:rFonts w:hint="default"/>
          <w:sz w:val="24"/>
        </w:rPr>
        <w:t xml:space="preserve">二、 </w:t>
      </w:r>
      <w:r>
        <w:rPr>
          <w:rFonts w:hint="eastAsia"/>
          <w:sz w:val="24"/>
        </w:rPr>
        <w:t>收入决算情况说明</w:t>
      </w:r>
      <w:r>
        <w:rPr>
          <w:rFonts w:hint="eastAsia"/>
          <w:sz w:val="24"/>
        </w:rPr>
        <w:tab/>
      </w:r>
      <w:r>
        <w:rPr>
          <w:rFonts w:hint="eastAsia"/>
          <w:sz w:val="24"/>
        </w:rPr>
        <w:fldChar w:fldCharType="begin"/>
      </w:r>
      <w:r>
        <w:rPr>
          <w:rFonts w:hint="eastAsia"/>
          <w:sz w:val="24"/>
        </w:rPr>
        <w:instrText xml:space="preserve"> PAGEREF _Toc27344 </w:instrText>
      </w:r>
      <w:r>
        <w:rPr>
          <w:rFonts w:hint="eastAsia"/>
          <w:sz w:val="24"/>
        </w:rPr>
        <w:fldChar w:fldCharType="separate"/>
      </w:r>
      <w:r>
        <w:rPr>
          <w:rFonts w:hint="eastAsia"/>
          <w:sz w:val="24"/>
        </w:rPr>
        <w:t>4</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_Toc31949 </w:instrText>
      </w:r>
      <w:r>
        <w:rPr>
          <w:rFonts w:hint="eastAsia"/>
          <w:sz w:val="24"/>
        </w:rPr>
        <w:fldChar w:fldCharType="separate"/>
      </w:r>
      <w:r>
        <w:rPr>
          <w:rFonts w:hint="default"/>
          <w:sz w:val="24"/>
        </w:rPr>
        <w:t xml:space="preserve">三、 </w:t>
      </w:r>
      <w:r>
        <w:rPr>
          <w:rFonts w:hint="eastAsia"/>
          <w:sz w:val="24"/>
        </w:rPr>
        <w:t>支出决算情况说明</w:t>
      </w:r>
      <w:r>
        <w:rPr>
          <w:rFonts w:hint="eastAsia"/>
          <w:sz w:val="24"/>
        </w:rPr>
        <w:tab/>
      </w:r>
      <w:r>
        <w:rPr>
          <w:rFonts w:hint="eastAsia"/>
          <w:sz w:val="24"/>
        </w:rPr>
        <w:fldChar w:fldCharType="begin"/>
      </w:r>
      <w:r>
        <w:rPr>
          <w:rFonts w:hint="eastAsia"/>
          <w:sz w:val="24"/>
        </w:rPr>
        <w:instrText xml:space="preserve"> PAGEREF _Toc31949 </w:instrText>
      </w:r>
      <w:r>
        <w:rPr>
          <w:rFonts w:hint="eastAsia"/>
          <w:sz w:val="24"/>
        </w:rPr>
        <w:fldChar w:fldCharType="separate"/>
      </w:r>
      <w:r>
        <w:rPr>
          <w:rFonts w:hint="eastAsia"/>
          <w:sz w:val="24"/>
        </w:rPr>
        <w:t>5</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_Toc6003 </w:instrText>
      </w:r>
      <w:r>
        <w:rPr>
          <w:rFonts w:hint="eastAsia"/>
          <w:sz w:val="24"/>
        </w:rPr>
        <w:fldChar w:fldCharType="separate"/>
      </w:r>
      <w:r>
        <w:rPr>
          <w:rFonts w:hint="eastAsia"/>
          <w:sz w:val="24"/>
        </w:rPr>
        <w:t>四、财政拨款收入支出决算总体情况说明</w:t>
      </w:r>
      <w:r>
        <w:rPr>
          <w:rFonts w:hint="eastAsia"/>
          <w:sz w:val="24"/>
        </w:rPr>
        <w:tab/>
      </w:r>
      <w:r>
        <w:rPr>
          <w:rFonts w:hint="eastAsia"/>
          <w:sz w:val="24"/>
        </w:rPr>
        <w:fldChar w:fldCharType="begin"/>
      </w:r>
      <w:r>
        <w:rPr>
          <w:rFonts w:hint="eastAsia"/>
          <w:sz w:val="24"/>
        </w:rPr>
        <w:instrText xml:space="preserve"> PAGEREF _Toc6003 </w:instrText>
      </w:r>
      <w:r>
        <w:rPr>
          <w:rFonts w:hint="eastAsia"/>
          <w:sz w:val="24"/>
        </w:rPr>
        <w:fldChar w:fldCharType="separate"/>
      </w:r>
      <w:r>
        <w:rPr>
          <w:rFonts w:hint="eastAsia"/>
          <w:sz w:val="24"/>
        </w:rPr>
        <w:t>5</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_Toc494 </w:instrText>
      </w:r>
      <w:r>
        <w:rPr>
          <w:rFonts w:hint="eastAsia"/>
          <w:sz w:val="24"/>
        </w:rPr>
        <w:fldChar w:fldCharType="separate"/>
      </w:r>
      <w:r>
        <w:rPr>
          <w:rFonts w:hint="eastAsia"/>
          <w:sz w:val="24"/>
        </w:rPr>
        <w:t>五、一般公共预算财政拨款支出决算情况说明</w:t>
      </w:r>
      <w:r>
        <w:rPr>
          <w:rFonts w:hint="eastAsia"/>
          <w:sz w:val="24"/>
        </w:rPr>
        <w:tab/>
      </w:r>
      <w:r>
        <w:rPr>
          <w:rFonts w:hint="eastAsia"/>
          <w:sz w:val="24"/>
        </w:rPr>
        <w:fldChar w:fldCharType="begin"/>
      </w:r>
      <w:r>
        <w:rPr>
          <w:rFonts w:hint="eastAsia"/>
          <w:sz w:val="24"/>
        </w:rPr>
        <w:instrText xml:space="preserve"> PAGEREF _Toc494 </w:instrText>
      </w:r>
      <w:r>
        <w:rPr>
          <w:rFonts w:hint="eastAsia"/>
          <w:sz w:val="24"/>
        </w:rPr>
        <w:fldChar w:fldCharType="separate"/>
      </w:r>
      <w:r>
        <w:rPr>
          <w:rFonts w:hint="eastAsia"/>
          <w:sz w:val="24"/>
        </w:rPr>
        <w:t>6</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_Toc29227 </w:instrText>
      </w:r>
      <w:r>
        <w:rPr>
          <w:rFonts w:hint="eastAsia"/>
          <w:sz w:val="24"/>
        </w:rPr>
        <w:fldChar w:fldCharType="separate"/>
      </w:r>
      <w:r>
        <w:rPr>
          <w:rFonts w:hint="eastAsia"/>
          <w:sz w:val="24"/>
        </w:rPr>
        <w:t>六、一般公共预算财政拨款基本支出决算情况说明</w:t>
      </w:r>
      <w:r>
        <w:rPr>
          <w:rFonts w:hint="eastAsia"/>
          <w:sz w:val="24"/>
        </w:rPr>
        <w:tab/>
      </w:r>
      <w:r>
        <w:rPr>
          <w:rFonts w:hint="eastAsia"/>
          <w:sz w:val="24"/>
        </w:rPr>
        <w:fldChar w:fldCharType="begin"/>
      </w:r>
      <w:r>
        <w:rPr>
          <w:rFonts w:hint="eastAsia"/>
          <w:sz w:val="24"/>
        </w:rPr>
        <w:instrText xml:space="preserve"> PAGEREF _Toc29227 </w:instrText>
      </w:r>
      <w:r>
        <w:rPr>
          <w:rFonts w:hint="eastAsia"/>
          <w:sz w:val="24"/>
        </w:rPr>
        <w:fldChar w:fldCharType="separate"/>
      </w:r>
      <w:r>
        <w:rPr>
          <w:rFonts w:hint="eastAsia"/>
          <w:sz w:val="24"/>
        </w:rPr>
        <w:t>8</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_Toc13718 </w:instrText>
      </w:r>
      <w:r>
        <w:rPr>
          <w:rFonts w:hint="eastAsia"/>
          <w:sz w:val="24"/>
        </w:rPr>
        <w:fldChar w:fldCharType="separate"/>
      </w:r>
      <w:r>
        <w:rPr>
          <w:rFonts w:hint="eastAsia"/>
          <w:sz w:val="24"/>
        </w:rPr>
        <w:t>七、“三公”经费财政拨款支出决算情况说明</w:t>
      </w:r>
      <w:r>
        <w:rPr>
          <w:rFonts w:hint="eastAsia"/>
          <w:sz w:val="24"/>
        </w:rPr>
        <w:tab/>
      </w:r>
      <w:r>
        <w:rPr>
          <w:rFonts w:hint="eastAsia"/>
          <w:sz w:val="24"/>
        </w:rPr>
        <w:fldChar w:fldCharType="begin"/>
      </w:r>
      <w:r>
        <w:rPr>
          <w:rFonts w:hint="eastAsia"/>
          <w:sz w:val="24"/>
        </w:rPr>
        <w:instrText xml:space="preserve"> PAGEREF _Toc13718 </w:instrText>
      </w:r>
      <w:r>
        <w:rPr>
          <w:rFonts w:hint="eastAsia"/>
          <w:sz w:val="24"/>
        </w:rPr>
        <w:fldChar w:fldCharType="separate"/>
      </w:r>
      <w:r>
        <w:rPr>
          <w:rFonts w:hint="eastAsia"/>
          <w:sz w:val="24"/>
        </w:rPr>
        <w:t>9</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_Toc1375 </w:instrText>
      </w:r>
      <w:r>
        <w:rPr>
          <w:rFonts w:hint="eastAsia"/>
          <w:sz w:val="24"/>
        </w:rPr>
        <w:fldChar w:fldCharType="separate"/>
      </w:r>
      <w:r>
        <w:rPr>
          <w:rFonts w:hint="eastAsia"/>
          <w:sz w:val="24"/>
        </w:rPr>
        <w:t>八、政府性基金预算支出决算情况说明</w:t>
      </w:r>
      <w:r>
        <w:rPr>
          <w:rFonts w:hint="eastAsia"/>
          <w:sz w:val="24"/>
        </w:rPr>
        <w:tab/>
      </w:r>
      <w:r>
        <w:rPr>
          <w:rFonts w:hint="eastAsia"/>
          <w:sz w:val="24"/>
        </w:rPr>
        <w:fldChar w:fldCharType="begin"/>
      </w:r>
      <w:r>
        <w:rPr>
          <w:rFonts w:hint="eastAsia"/>
          <w:sz w:val="24"/>
        </w:rPr>
        <w:instrText xml:space="preserve"> PAGEREF _Toc1375 </w:instrText>
      </w:r>
      <w:r>
        <w:rPr>
          <w:rFonts w:hint="eastAsia"/>
          <w:sz w:val="24"/>
        </w:rPr>
        <w:fldChar w:fldCharType="separate"/>
      </w:r>
      <w:r>
        <w:rPr>
          <w:rFonts w:hint="eastAsia"/>
          <w:sz w:val="24"/>
        </w:rPr>
        <w:t>11</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_Toc1181 </w:instrText>
      </w:r>
      <w:r>
        <w:rPr>
          <w:rFonts w:hint="eastAsia"/>
          <w:sz w:val="24"/>
        </w:rPr>
        <w:fldChar w:fldCharType="separate"/>
      </w:r>
      <w:r>
        <w:rPr>
          <w:rFonts w:hint="eastAsia"/>
          <w:sz w:val="24"/>
        </w:rPr>
        <w:t>九、 国有资本经营预算支出决算情况说明</w:t>
      </w:r>
      <w:r>
        <w:rPr>
          <w:rFonts w:hint="eastAsia"/>
          <w:sz w:val="24"/>
        </w:rPr>
        <w:tab/>
      </w:r>
      <w:r>
        <w:rPr>
          <w:rFonts w:hint="eastAsia"/>
          <w:sz w:val="24"/>
        </w:rPr>
        <w:fldChar w:fldCharType="begin"/>
      </w:r>
      <w:r>
        <w:rPr>
          <w:rFonts w:hint="eastAsia"/>
          <w:sz w:val="24"/>
        </w:rPr>
        <w:instrText xml:space="preserve"> PAGEREF _Toc1181 </w:instrText>
      </w:r>
      <w:r>
        <w:rPr>
          <w:rFonts w:hint="eastAsia"/>
          <w:sz w:val="24"/>
        </w:rPr>
        <w:fldChar w:fldCharType="separate"/>
      </w:r>
      <w:r>
        <w:rPr>
          <w:rFonts w:hint="eastAsia"/>
          <w:sz w:val="24"/>
        </w:rPr>
        <w:t>11</w:t>
      </w:r>
      <w:r>
        <w:rPr>
          <w:rFonts w:hint="eastAsia"/>
          <w:sz w:val="24"/>
        </w:rPr>
        <w:fldChar w:fldCharType="end"/>
      </w:r>
      <w:r>
        <w:rPr>
          <w:rFonts w:hint="eastAsia"/>
          <w:sz w:val="24"/>
        </w:rPr>
        <w:fldChar w:fldCharType="end"/>
      </w:r>
    </w:p>
    <w:p>
      <w:pPr>
        <w:pStyle w:val="11"/>
        <w:adjustRightInd w:val="0"/>
        <w:snapToGrid w:val="0"/>
        <w:spacing w:line="440" w:lineRule="exact"/>
        <w:jc w:val="left"/>
      </w:pPr>
      <w:r>
        <w:rPr>
          <w:rFonts w:hint="eastAsia"/>
          <w:sz w:val="24"/>
        </w:rPr>
        <w:fldChar w:fldCharType="begin"/>
      </w:r>
      <w:r>
        <w:rPr>
          <w:rFonts w:hint="eastAsia"/>
          <w:sz w:val="24"/>
        </w:rPr>
        <w:instrText xml:space="preserve"> HYPERLINK \l _Toc17668 </w:instrText>
      </w:r>
      <w:r>
        <w:rPr>
          <w:rFonts w:hint="eastAsia"/>
          <w:sz w:val="24"/>
        </w:rPr>
        <w:fldChar w:fldCharType="separate"/>
      </w:r>
      <w:r>
        <w:rPr>
          <w:rFonts w:hint="eastAsia"/>
          <w:sz w:val="24"/>
        </w:rPr>
        <w:t>十、其他重要事项的情况说明</w:t>
      </w:r>
      <w:r>
        <w:rPr>
          <w:rFonts w:hint="eastAsia"/>
          <w:sz w:val="24"/>
        </w:rPr>
        <w:tab/>
      </w:r>
      <w:r>
        <w:rPr>
          <w:rFonts w:hint="eastAsia"/>
          <w:sz w:val="24"/>
        </w:rPr>
        <w:fldChar w:fldCharType="begin"/>
      </w:r>
      <w:r>
        <w:rPr>
          <w:rFonts w:hint="eastAsia"/>
          <w:sz w:val="24"/>
        </w:rPr>
        <w:instrText xml:space="preserve"> PAGEREF _Toc17668 </w:instrText>
      </w:r>
      <w:r>
        <w:rPr>
          <w:rFonts w:hint="eastAsia"/>
          <w:sz w:val="24"/>
        </w:rPr>
        <w:fldChar w:fldCharType="separate"/>
      </w:r>
      <w:r>
        <w:rPr>
          <w:rFonts w:hint="eastAsia"/>
          <w:sz w:val="24"/>
        </w:rPr>
        <w:t>11</w:t>
      </w:r>
      <w:r>
        <w:rPr>
          <w:rFonts w:hint="eastAsia"/>
          <w:sz w:val="24"/>
        </w:rPr>
        <w:fldChar w:fldCharType="end"/>
      </w:r>
      <w:r>
        <w:rPr>
          <w:rFonts w:hint="eastAsia"/>
          <w:sz w:val="24"/>
        </w:rPr>
        <w:fldChar w:fldCharType="end"/>
      </w:r>
    </w:p>
    <w:p>
      <w:pPr>
        <w:pStyle w:val="10"/>
        <w:tabs>
          <w:tab w:val="right" w:leader="dot" w:pos="8306"/>
          <w:tab w:val="clear" w:pos="8296"/>
        </w:tabs>
        <w:rPr>
          <w:rFonts w:hint="eastAsia"/>
        </w:rPr>
      </w:pPr>
      <w:r>
        <w:rPr>
          <w:rFonts w:hint="eastAsia"/>
        </w:rPr>
        <w:fldChar w:fldCharType="begin"/>
      </w:r>
      <w:r>
        <w:rPr>
          <w:rFonts w:hint="eastAsia"/>
        </w:rPr>
        <w:instrText xml:space="preserve"> HYPERLINK \l _Toc27543 </w:instrText>
      </w:r>
      <w:r>
        <w:rPr>
          <w:rFonts w:hint="eastAsia"/>
        </w:rPr>
        <w:fldChar w:fldCharType="separate"/>
      </w:r>
      <w:r>
        <w:rPr>
          <w:rFonts w:hint="eastAsia"/>
        </w:rPr>
        <w:t>第三部分 名词解释</w:t>
      </w:r>
      <w:r>
        <w:rPr>
          <w:rFonts w:hint="eastAsia"/>
        </w:rPr>
        <w:tab/>
      </w:r>
      <w:r>
        <w:rPr>
          <w:rFonts w:hint="eastAsia"/>
        </w:rPr>
        <w:fldChar w:fldCharType="begin"/>
      </w:r>
      <w:r>
        <w:rPr>
          <w:rFonts w:hint="eastAsia"/>
        </w:rPr>
        <w:instrText xml:space="preserve"> PAGEREF _Toc27543 </w:instrText>
      </w:r>
      <w:r>
        <w:rPr>
          <w:rFonts w:hint="eastAsia"/>
        </w:rPr>
        <w:fldChar w:fldCharType="separate"/>
      </w:r>
      <w:r>
        <w:rPr>
          <w:rFonts w:hint="eastAsia"/>
        </w:rPr>
        <w:t>13</w:t>
      </w:r>
      <w:r>
        <w:rPr>
          <w:rFonts w:hint="eastAsia"/>
        </w:rPr>
        <w:fldChar w:fldCharType="end"/>
      </w:r>
      <w:r>
        <w:rPr>
          <w:rFonts w:hint="eastAsia"/>
        </w:rPr>
        <w:fldChar w:fldCharType="end"/>
      </w:r>
    </w:p>
    <w:p>
      <w:pPr>
        <w:pStyle w:val="10"/>
        <w:tabs>
          <w:tab w:val="right" w:leader="dot" w:pos="8306"/>
          <w:tab w:val="clear" w:pos="8296"/>
        </w:tabs>
        <w:rPr>
          <w:rFonts w:hint="eastAsia"/>
        </w:rPr>
      </w:pPr>
      <w:r>
        <w:rPr>
          <w:rFonts w:hint="eastAsia"/>
        </w:rPr>
        <w:fldChar w:fldCharType="begin"/>
      </w:r>
      <w:r>
        <w:rPr>
          <w:rFonts w:hint="eastAsia"/>
        </w:rPr>
        <w:instrText xml:space="preserve"> HYPERLINK \l _Toc6646 </w:instrText>
      </w:r>
      <w:r>
        <w:rPr>
          <w:rFonts w:hint="eastAsia"/>
        </w:rPr>
        <w:fldChar w:fldCharType="separate"/>
      </w:r>
      <w:r>
        <w:rPr>
          <w:rFonts w:hint="eastAsia"/>
        </w:rPr>
        <w:t>第四部分 附件</w:t>
      </w:r>
      <w:r>
        <w:rPr>
          <w:rFonts w:hint="eastAsia"/>
        </w:rPr>
        <w:tab/>
      </w:r>
      <w:r>
        <w:rPr>
          <w:rFonts w:hint="eastAsia"/>
        </w:rPr>
        <w:fldChar w:fldCharType="begin"/>
      </w:r>
      <w:r>
        <w:rPr>
          <w:rFonts w:hint="eastAsia"/>
        </w:rPr>
        <w:instrText xml:space="preserve"> PAGEREF _Toc6646 </w:instrText>
      </w:r>
      <w:r>
        <w:rPr>
          <w:rFonts w:hint="eastAsia"/>
        </w:rPr>
        <w:fldChar w:fldCharType="separate"/>
      </w:r>
      <w:r>
        <w:rPr>
          <w:rFonts w:hint="eastAsia"/>
        </w:rPr>
        <w:t>16</w:t>
      </w:r>
      <w:r>
        <w:rPr>
          <w:rFonts w:hint="eastAsia"/>
        </w:rPr>
        <w:fldChar w:fldCharType="end"/>
      </w:r>
      <w:r>
        <w:rPr>
          <w:rFonts w:hint="eastAsia"/>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_Toc23615 </w:instrText>
      </w:r>
      <w:r>
        <w:rPr>
          <w:rFonts w:hint="eastAsia"/>
          <w:sz w:val="24"/>
        </w:rPr>
        <w:fldChar w:fldCharType="separate"/>
      </w:r>
      <w:r>
        <w:rPr>
          <w:rFonts w:hint="eastAsia"/>
          <w:sz w:val="24"/>
        </w:rPr>
        <w:t>附件1</w:t>
      </w:r>
      <w:r>
        <w:rPr>
          <w:rFonts w:hint="eastAsia"/>
          <w:sz w:val="24"/>
        </w:rPr>
        <w:tab/>
      </w:r>
      <w:r>
        <w:rPr>
          <w:rFonts w:hint="eastAsia"/>
          <w:sz w:val="24"/>
        </w:rPr>
        <w:fldChar w:fldCharType="begin"/>
      </w:r>
      <w:r>
        <w:rPr>
          <w:rFonts w:hint="eastAsia"/>
          <w:sz w:val="24"/>
        </w:rPr>
        <w:instrText xml:space="preserve"> PAGEREF _Toc23615 </w:instrText>
      </w:r>
      <w:r>
        <w:rPr>
          <w:rFonts w:hint="eastAsia"/>
          <w:sz w:val="24"/>
        </w:rPr>
        <w:fldChar w:fldCharType="separate"/>
      </w:r>
      <w:r>
        <w:rPr>
          <w:rFonts w:hint="eastAsia"/>
          <w:sz w:val="24"/>
        </w:rPr>
        <w:t>16</w:t>
      </w:r>
      <w:r>
        <w:rPr>
          <w:rFonts w:hint="eastAsia"/>
          <w:sz w:val="24"/>
        </w:rPr>
        <w:fldChar w:fldCharType="end"/>
      </w:r>
      <w:r>
        <w:rPr>
          <w:rFonts w:hint="eastAsia"/>
          <w:sz w:val="24"/>
        </w:rPr>
        <w:fldChar w:fldCharType="end"/>
      </w:r>
    </w:p>
    <w:p>
      <w:pPr>
        <w:pStyle w:val="10"/>
        <w:tabs>
          <w:tab w:val="right" w:leader="dot" w:pos="8306"/>
          <w:tab w:val="clear" w:pos="8296"/>
        </w:tabs>
        <w:rPr>
          <w:rFonts w:hint="eastAsia"/>
        </w:rPr>
      </w:pPr>
      <w:r>
        <w:rPr>
          <w:rFonts w:hint="eastAsia"/>
        </w:rPr>
        <w:fldChar w:fldCharType="begin"/>
      </w:r>
      <w:r>
        <w:rPr>
          <w:rFonts w:hint="eastAsia"/>
        </w:rPr>
        <w:instrText xml:space="preserve"> HYPERLINK \l _Toc21032 </w:instrText>
      </w:r>
      <w:r>
        <w:rPr>
          <w:rFonts w:hint="eastAsia"/>
        </w:rPr>
        <w:fldChar w:fldCharType="separate"/>
      </w:r>
      <w:r>
        <w:rPr>
          <w:rFonts w:hint="eastAsia"/>
        </w:rPr>
        <w:t>第五部分 附表</w:t>
      </w:r>
      <w:r>
        <w:rPr>
          <w:rFonts w:hint="eastAsia"/>
        </w:rPr>
        <w:tab/>
      </w:r>
      <w:r>
        <w:rPr>
          <w:rFonts w:hint="eastAsia"/>
        </w:rPr>
        <w:fldChar w:fldCharType="begin"/>
      </w:r>
      <w:r>
        <w:rPr>
          <w:rFonts w:hint="eastAsia"/>
        </w:rPr>
        <w:instrText xml:space="preserve"> PAGEREF _Toc21032 </w:instrText>
      </w:r>
      <w:r>
        <w:rPr>
          <w:rFonts w:hint="eastAsia"/>
        </w:rPr>
        <w:fldChar w:fldCharType="separate"/>
      </w:r>
      <w:r>
        <w:rPr>
          <w:rFonts w:hint="eastAsia"/>
        </w:rPr>
        <w:t>20</w:t>
      </w:r>
      <w:r>
        <w:rPr>
          <w:rFonts w:hint="eastAsia"/>
        </w:rPr>
        <w:fldChar w:fldCharType="end"/>
      </w:r>
      <w:r>
        <w:rPr>
          <w:rFonts w:hint="eastAsia"/>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_Toc2900 </w:instrText>
      </w:r>
      <w:r>
        <w:rPr>
          <w:rFonts w:hint="eastAsia"/>
          <w:sz w:val="24"/>
        </w:rPr>
        <w:fldChar w:fldCharType="separate"/>
      </w:r>
      <w:r>
        <w:rPr>
          <w:rFonts w:hint="eastAsia"/>
          <w:sz w:val="24"/>
        </w:rPr>
        <w:t>一、收入支出决算总表</w:t>
      </w:r>
      <w:r>
        <w:rPr>
          <w:rFonts w:hint="eastAsia"/>
          <w:sz w:val="24"/>
        </w:rPr>
        <w:tab/>
      </w:r>
      <w:r>
        <w:rPr>
          <w:rFonts w:hint="eastAsia"/>
          <w:sz w:val="24"/>
        </w:rPr>
        <w:fldChar w:fldCharType="begin"/>
      </w:r>
      <w:r>
        <w:rPr>
          <w:rFonts w:hint="eastAsia"/>
          <w:sz w:val="24"/>
        </w:rPr>
        <w:instrText xml:space="preserve"> PAGEREF _Toc2900 </w:instrText>
      </w:r>
      <w:r>
        <w:rPr>
          <w:rFonts w:hint="eastAsia"/>
          <w:sz w:val="24"/>
        </w:rPr>
        <w:fldChar w:fldCharType="separate"/>
      </w:r>
      <w:r>
        <w:rPr>
          <w:rFonts w:hint="eastAsia"/>
          <w:sz w:val="24"/>
        </w:rPr>
        <w:t>20</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_Toc23431 </w:instrText>
      </w:r>
      <w:r>
        <w:rPr>
          <w:rFonts w:hint="eastAsia"/>
          <w:sz w:val="24"/>
        </w:rPr>
        <w:fldChar w:fldCharType="separate"/>
      </w:r>
      <w:r>
        <w:rPr>
          <w:rFonts w:hint="eastAsia"/>
          <w:sz w:val="24"/>
        </w:rPr>
        <w:t>二、收入决算表</w:t>
      </w:r>
      <w:r>
        <w:rPr>
          <w:rFonts w:hint="eastAsia"/>
          <w:sz w:val="24"/>
        </w:rPr>
        <w:tab/>
      </w:r>
      <w:r>
        <w:rPr>
          <w:rFonts w:hint="eastAsia"/>
          <w:sz w:val="24"/>
        </w:rPr>
        <w:fldChar w:fldCharType="begin"/>
      </w:r>
      <w:r>
        <w:rPr>
          <w:rFonts w:hint="eastAsia"/>
          <w:sz w:val="24"/>
        </w:rPr>
        <w:instrText xml:space="preserve"> PAGEREF _Toc23431 </w:instrText>
      </w:r>
      <w:r>
        <w:rPr>
          <w:rFonts w:hint="eastAsia"/>
          <w:sz w:val="24"/>
        </w:rPr>
        <w:fldChar w:fldCharType="separate"/>
      </w:r>
      <w:r>
        <w:rPr>
          <w:rFonts w:hint="eastAsia"/>
          <w:sz w:val="24"/>
        </w:rPr>
        <w:t>20</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_Toc21112 </w:instrText>
      </w:r>
      <w:r>
        <w:rPr>
          <w:rFonts w:hint="eastAsia"/>
          <w:sz w:val="24"/>
        </w:rPr>
        <w:fldChar w:fldCharType="separate"/>
      </w:r>
      <w:r>
        <w:rPr>
          <w:rFonts w:hint="eastAsia"/>
          <w:sz w:val="24"/>
        </w:rPr>
        <w:t>三、支出决算表</w:t>
      </w:r>
      <w:r>
        <w:rPr>
          <w:rFonts w:hint="eastAsia"/>
          <w:sz w:val="24"/>
        </w:rPr>
        <w:tab/>
      </w:r>
      <w:r>
        <w:rPr>
          <w:rFonts w:hint="eastAsia"/>
          <w:sz w:val="24"/>
        </w:rPr>
        <w:fldChar w:fldCharType="begin"/>
      </w:r>
      <w:r>
        <w:rPr>
          <w:rFonts w:hint="eastAsia"/>
          <w:sz w:val="24"/>
        </w:rPr>
        <w:instrText xml:space="preserve"> PAGEREF _Toc21112 </w:instrText>
      </w:r>
      <w:r>
        <w:rPr>
          <w:rFonts w:hint="eastAsia"/>
          <w:sz w:val="24"/>
        </w:rPr>
        <w:fldChar w:fldCharType="separate"/>
      </w:r>
      <w:r>
        <w:rPr>
          <w:rFonts w:hint="eastAsia"/>
          <w:sz w:val="24"/>
        </w:rPr>
        <w:t>20</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_Toc26357 </w:instrText>
      </w:r>
      <w:r>
        <w:rPr>
          <w:rFonts w:hint="eastAsia"/>
          <w:sz w:val="24"/>
        </w:rPr>
        <w:fldChar w:fldCharType="separate"/>
      </w:r>
      <w:r>
        <w:rPr>
          <w:rFonts w:hint="eastAsia"/>
          <w:sz w:val="24"/>
        </w:rPr>
        <w:t>四、财政拨款收入支出决算总表</w:t>
      </w:r>
      <w:r>
        <w:rPr>
          <w:rFonts w:hint="eastAsia"/>
          <w:sz w:val="24"/>
        </w:rPr>
        <w:tab/>
      </w:r>
      <w:r>
        <w:rPr>
          <w:rFonts w:hint="eastAsia"/>
          <w:sz w:val="24"/>
        </w:rPr>
        <w:fldChar w:fldCharType="begin"/>
      </w:r>
      <w:r>
        <w:rPr>
          <w:rFonts w:hint="eastAsia"/>
          <w:sz w:val="24"/>
        </w:rPr>
        <w:instrText xml:space="preserve"> PAGEREF _Toc26357 </w:instrText>
      </w:r>
      <w:r>
        <w:rPr>
          <w:rFonts w:hint="eastAsia"/>
          <w:sz w:val="24"/>
        </w:rPr>
        <w:fldChar w:fldCharType="separate"/>
      </w:r>
      <w:r>
        <w:rPr>
          <w:rFonts w:hint="eastAsia"/>
          <w:sz w:val="24"/>
        </w:rPr>
        <w:t>20</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_Toc28100 </w:instrText>
      </w:r>
      <w:r>
        <w:rPr>
          <w:rFonts w:hint="eastAsia"/>
          <w:sz w:val="24"/>
        </w:rPr>
        <w:fldChar w:fldCharType="separate"/>
      </w:r>
      <w:r>
        <w:rPr>
          <w:rFonts w:hint="eastAsia"/>
          <w:sz w:val="24"/>
        </w:rPr>
        <w:t>五、财政拨款支出决算明细表</w:t>
      </w:r>
      <w:r>
        <w:rPr>
          <w:rFonts w:hint="eastAsia"/>
          <w:sz w:val="24"/>
        </w:rPr>
        <w:tab/>
      </w:r>
      <w:r>
        <w:rPr>
          <w:rFonts w:hint="eastAsia"/>
          <w:sz w:val="24"/>
        </w:rPr>
        <w:fldChar w:fldCharType="begin"/>
      </w:r>
      <w:r>
        <w:rPr>
          <w:rFonts w:hint="eastAsia"/>
          <w:sz w:val="24"/>
        </w:rPr>
        <w:instrText xml:space="preserve"> PAGEREF _Toc28100 </w:instrText>
      </w:r>
      <w:r>
        <w:rPr>
          <w:rFonts w:hint="eastAsia"/>
          <w:sz w:val="24"/>
        </w:rPr>
        <w:fldChar w:fldCharType="separate"/>
      </w:r>
      <w:r>
        <w:rPr>
          <w:rFonts w:hint="eastAsia"/>
          <w:sz w:val="24"/>
        </w:rPr>
        <w:t>20</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_Toc15351 </w:instrText>
      </w:r>
      <w:r>
        <w:rPr>
          <w:rFonts w:hint="eastAsia"/>
          <w:sz w:val="24"/>
        </w:rPr>
        <w:fldChar w:fldCharType="separate"/>
      </w:r>
      <w:r>
        <w:rPr>
          <w:rFonts w:hint="eastAsia"/>
          <w:sz w:val="24"/>
        </w:rPr>
        <w:t>六、一般公共预算财政拨款支出决算表</w:t>
      </w:r>
      <w:r>
        <w:rPr>
          <w:rFonts w:hint="eastAsia"/>
          <w:sz w:val="24"/>
        </w:rPr>
        <w:tab/>
      </w:r>
      <w:r>
        <w:rPr>
          <w:rFonts w:hint="eastAsia"/>
          <w:sz w:val="24"/>
        </w:rPr>
        <w:fldChar w:fldCharType="begin"/>
      </w:r>
      <w:r>
        <w:rPr>
          <w:rFonts w:hint="eastAsia"/>
          <w:sz w:val="24"/>
        </w:rPr>
        <w:instrText xml:space="preserve"> PAGEREF _Toc15351 </w:instrText>
      </w:r>
      <w:r>
        <w:rPr>
          <w:rFonts w:hint="eastAsia"/>
          <w:sz w:val="24"/>
        </w:rPr>
        <w:fldChar w:fldCharType="separate"/>
      </w:r>
      <w:r>
        <w:rPr>
          <w:rFonts w:hint="eastAsia"/>
          <w:sz w:val="24"/>
        </w:rPr>
        <w:t>20</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_Toc23338 </w:instrText>
      </w:r>
      <w:r>
        <w:rPr>
          <w:rFonts w:hint="eastAsia"/>
          <w:sz w:val="24"/>
        </w:rPr>
        <w:fldChar w:fldCharType="separate"/>
      </w:r>
      <w:r>
        <w:rPr>
          <w:rFonts w:hint="eastAsia"/>
          <w:sz w:val="24"/>
        </w:rPr>
        <w:t>七、一般公共预算财政拨款支出决算明细表</w:t>
      </w:r>
      <w:r>
        <w:rPr>
          <w:rFonts w:hint="eastAsia"/>
          <w:sz w:val="24"/>
        </w:rPr>
        <w:tab/>
      </w:r>
      <w:r>
        <w:rPr>
          <w:rFonts w:hint="eastAsia"/>
          <w:sz w:val="24"/>
        </w:rPr>
        <w:fldChar w:fldCharType="begin"/>
      </w:r>
      <w:r>
        <w:rPr>
          <w:rFonts w:hint="eastAsia"/>
          <w:sz w:val="24"/>
        </w:rPr>
        <w:instrText xml:space="preserve"> PAGEREF _Toc23338 </w:instrText>
      </w:r>
      <w:r>
        <w:rPr>
          <w:rFonts w:hint="eastAsia"/>
          <w:sz w:val="24"/>
        </w:rPr>
        <w:fldChar w:fldCharType="separate"/>
      </w:r>
      <w:r>
        <w:rPr>
          <w:rFonts w:hint="eastAsia"/>
          <w:sz w:val="24"/>
        </w:rPr>
        <w:t>20</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_Toc2840 </w:instrText>
      </w:r>
      <w:r>
        <w:rPr>
          <w:rFonts w:hint="eastAsia"/>
          <w:sz w:val="24"/>
        </w:rPr>
        <w:fldChar w:fldCharType="separate"/>
      </w:r>
      <w:r>
        <w:rPr>
          <w:rFonts w:hint="eastAsia"/>
          <w:sz w:val="24"/>
        </w:rPr>
        <w:t>八、一般公共预算财政拨款基本支出决算表</w:t>
      </w:r>
      <w:r>
        <w:rPr>
          <w:rFonts w:hint="eastAsia"/>
          <w:sz w:val="24"/>
        </w:rPr>
        <w:tab/>
      </w:r>
      <w:r>
        <w:rPr>
          <w:rFonts w:hint="eastAsia"/>
          <w:sz w:val="24"/>
        </w:rPr>
        <w:fldChar w:fldCharType="begin"/>
      </w:r>
      <w:r>
        <w:rPr>
          <w:rFonts w:hint="eastAsia"/>
          <w:sz w:val="24"/>
        </w:rPr>
        <w:instrText xml:space="preserve"> PAGEREF _Toc2840 </w:instrText>
      </w:r>
      <w:r>
        <w:rPr>
          <w:rFonts w:hint="eastAsia"/>
          <w:sz w:val="24"/>
        </w:rPr>
        <w:fldChar w:fldCharType="separate"/>
      </w:r>
      <w:r>
        <w:rPr>
          <w:rFonts w:hint="eastAsia"/>
          <w:sz w:val="24"/>
        </w:rPr>
        <w:t>20</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_Toc4588 </w:instrText>
      </w:r>
      <w:r>
        <w:rPr>
          <w:rFonts w:hint="eastAsia"/>
          <w:sz w:val="24"/>
        </w:rPr>
        <w:fldChar w:fldCharType="separate"/>
      </w:r>
      <w:r>
        <w:rPr>
          <w:rFonts w:hint="eastAsia"/>
          <w:sz w:val="24"/>
        </w:rPr>
        <w:t>九、一般公共预算财政拨款项目支出决算表</w:t>
      </w:r>
      <w:r>
        <w:rPr>
          <w:rFonts w:hint="eastAsia"/>
          <w:sz w:val="24"/>
        </w:rPr>
        <w:tab/>
      </w:r>
      <w:r>
        <w:rPr>
          <w:rFonts w:hint="eastAsia"/>
          <w:sz w:val="24"/>
        </w:rPr>
        <w:fldChar w:fldCharType="begin"/>
      </w:r>
      <w:r>
        <w:rPr>
          <w:rFonts w:hint="eastAsia"/>
          <w:sz w:val="24"/>
        </w:rPr>
        <w:instrText xml:space="preserve"> PAGEREF _Toc4588 </w:instrText>
      </w:r>
      <w:r>
        <w:rPr>
          <w:rFonts w:hint="eastAsia"/>
          <w:sz w:val="24"/>
        </w:rPr>
        <w:fldChar w:fldCharType="separate"/>
      </w:r>
      <w:r>
        <w:rPr>
          <w:rFonts w:hint="eastAsia"/>
          <w:sz w:val="24"/>
        </w:rPr>
        <w:t>20</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_Toc15367 </w:instrText>
      </w:r>
      <w:r>
        <w:rPr>
          <w:rFonts w:hint="eastAsia"/>
          <w:sz w:val="24"/>
        </w:rPr>
        <w:fldChar w:fldCharType="separate"/>
      </w:r>
      <w:r>
        <w:rPr>
          <w:rFonts w:hint="eastAsia"/>
          <w:sz w:val="24"/>
        </w:rPr>
        <w:t>十、一般公共预算财政拨款“三公”经费支出决算表</w:t>
      </w:r>
      <w:r>
        <w:rPr>
          <w:rFonts w:hint="eastAsia"/>
          <w:sz w:val="24"/>
        </w:rPr>
        <w:tab/>
      </w:r>
      <w:r>
        <w:rPr>
          <w:rFonts w:hint="eastAsia"/>
          <w:sz w:val="24"/>
        </w:rPr>
        <w:fldChar w:fldCharType="begin"/>
      </w:r>
      <w:r>
        <w:rPr>
          <w:rFonts w:hint="eastAsia"/>
          <w:sz w:val="24"/>
        </w:rPr>
        <w:instrText xml:space="preserve"> PAGEREF _Toc15367 </w:instrText>
      </w:r>
      <w:r>
        <w:rPr>
          <w:rFonts w:hint="eastAsia"/>
          <w:sz w:val="24"/>
        </w:rPr>
        <w:fldChar w:fldCharType="separate"/>
      </w:r>
      <w:r>
        <w:rPr>
          <w:rFonts w:hint="eastAsia"/>
          <w:sz w:val="24"/>
        </w:rPr>
        <w:t>20</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_Toc15012 </w:instrText>
      </w:r>
      <w:r>
        <w:rPr>
          <w:rFonts w:hint="eastAsia"/>
          <w:sz w:val="24"/>
        </w:rPr>
        <w:fldChar w:fldCharType="separate"/>
      </w:r>
      <w:r>
        <w:rPr>
          <w:rFonts w:hint="eastAsia"/>
          <w:sz w:val="24"/>
        </w:rPr>
        <w:t>十一、政府性基金预算财政拨款收入支出决算表</w:t>
      </w:r>
      <w:r>
        <w:rPr>
          <w:rFonts w:hint="eastAsia"/>
          <w:sz w:val="24"/>
        </w:rPr>
        <w:tab/>
      </w:r>
      <w:r>
        <w:rPr>
          <w:rFonts w:hint="eastAsia"/>
          <w:sz w:val="24"/>
        </w:rPr>
        <w:fldChar w:fldCharType="begin"/>
      </w:r>
      <w:r>
        <w:rPr>
          <w:rFonts w:hint="eastAsia"/>
          <w:sz w:val="24"/>
        </w:rPr>
        <w:instrText xml:space="preserve"> PAGEREF _Toc15012 </w:instrText>
      </w:r>
      <w:r>
        <w:rPr>
          <w:rFonts w:hint="eastAsia"/>
          <w:sz w:val="24"/>
        </w:rPr>
        <w:fldChar w:fldCharType="separate"/>
      </w:r>
      <w:r>
        <w:rPr>
          <w:rFonts w:hint="eastAsia"/>
          <w:sz w:val="24"/>
        </w:rPr>
        <w:t>20</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_Toc24054 </w:instrText>
      </w:r>
      <w:r>
        <w:rPr>
          <w:rFonts w:hint="eastAsia"/>
          <w:sz w:val="24"/>
        </w:rPr>
        <w:fldChar w:fldCharType="separate"/>
      </w:r>
      <w:r>
        <w:rPr>
          <w:rFonts w:hint="eastAsia"/>
          <w:sz w:val="24"/>
        </w:rPr>
        <w:t>十二、政府性基金预算财政拨款“三公”经费支出决算表</w:t>
      </w:r>
      <w:r>
        <w:rPr>
          <w:rFonts w:hint="eastAsia"/>
          <w:sz w:val="24"/>
        </w:rPr>
        <w:tab/>
      </w:r>
      <w:r>
        <w:rPr>
          <w:rFonts w:hint="eastAsia"/>
          <w:sz w:val="24"/>
        </w:rPr>
        <w:fldChar w:fldCharType="begin"/>
      </w:r>
      <w:r>
        <w:rPr>
          <w:rFonts w:hint="eastAsia"/>
          <w:sz w:val="24"/>
        </w:rPr>
        <w:instrText xml:space="preserve"> PAGEREF _Toc24054 </w:instrText>
      </w:r>
      <w:r>
        <w:rPr>
          <w:rFonts w:hint="eastAsia"/>
          <w:sz w:val="24"/>
        </w:rPr>
        <w:fldChar w:fldCharType="separate"/>
      </w:r>
      <w:r>
        <w:rPr>
          <w:rFonts w:hint="eastAsia"/>
          <w:sz w:val="24"/>
        </w:rPr>
        <w:t>20</w:t>
      </w:r>
      <w:r>
        <w:rPr>
          <w:rFonts w:hint="eastAsia"/>
          <w:sz w:val="24"/>
        </w:rPr>
        <w:fldChar w:fldCharType="end"/>
      </w:r>
      <w:r>
        <w:rPr>
          <w:rFonts w:hint="eastAsia"/>
          <w:sz w:val="24"/>
        </w:rPr>
        <w:fldChar w:fldCharType="end"/>
      </w:r>
    </w:p>
    <w:p>
      <w:pPr>
        <w:pStyle w:val="11"/>
        <w:adjustRightInd w:val="0"/>
        <w:snapToGrid w:val="0"/>
        <w:spacing w:line="440" w:lineRule="exact"/>
        <w:jc w:val="left"/>
        <w:rPr>
          <w:rFonts w:hint="eastAsia"/>
          <w:sz w:val="24"/>
        </w:rPr>
      </w:pPr>
      <w:r>
        <w:rPr>
          <w:rFonts w:hint="eastAsia"/>
          <w:sz w:val="24"/>
        </w:rPr>
        <w:fldChar w:fldCharType="begin"/>
      </w:r>
      <w:r>
        <w:rPr>
          <w:rFonts w:hint="eastAsia"/>
          <w:sz w:val="24"/>
        </w:rPr>
        <w:instrText xml:space="preserve"> HYPERLINK \l _Toc5299 </w:instrText>
      </w:r>
      <w:r>
        <w:rPr>
          <w:rFonts w:hint="eastAsia"/>
          <w:sz w:val="24"/>
        </w:rPr>
        <w:fldChar w:fldCharType="separate"/>
      </w:r>
      <w:r>
        <w:rPr>
          <w:rFonts w:hint="eastAsia"/>
          <w:sz w:val="24"/>
        </w:rPr>
        <w:t>十三、国有资本经营预算支出决算表</w:t>
      </w:r>
      <w:r>
        <w:rPr>
          <w:rFonts w:hint="eastAsia"/>
          <w:sz w:val="24"/>
        </w:rPr>
        <w:tab/>
      </w:r>
      <w:r>
        <w:rPr>
          <w:rFonts w:hint="eastAsia"/>
          <w:sz w:val="24"/>
        </w:rPr>
        <w:fldChar w:fldCharType="begin"/>
      </w:r>
      <w:r>
        <w:rPr>
          <w:rFonts w:hint="eastAsia"/>
          <w:sz w:val="24"/>
        </w:rPr>
        <w:instrText xml:space="preserve"> PAGEREF _Toc5299 </w:instrText>
      </w:r>
      <w:r>
        <w:rPr>
          <w:rFonts w:hint="eastAsia"/>
          <w:sz w:val="24"/>
        </w:rPr>
        <w:fldChar w:fldCharType="separate"/>
      </w:r>
      <w:r>
        <w:rPr>
          <w:rFonts w:hint="eastAsia"/>
          <w:sz w:val="24"/>
        </w:rPr>
        <w:t>20</w:t>
      </w:r>
      <w:r>
        <w:rPr>
          <w:rFonts w:hint="eastAsia"/>
          <w:sz w:val="24"/>
        </w:rPr>
        <w:fldChar w:fldCharType="end"/>
      </w:r>
      <w:r>
        <w:rPr>
          <w:rFonts w:hint="eastAsia"/>
          <w:sz w:val="24"/>
        </w:rPr>
        <w:fldChar w:fldCharType="end"/>
      </w:r>
    </w:p>
    <w:p>
      <w:pPr>
        <w:outlineLvl w:val="0"/>
        <w:rPr>
          <w:rFonts w:ascii="方正小标宋简体" w:hAnsi="宋体" w:eastAsia="方正小标宋简体"/>
          <w:sz w:val="36"/>
          <w:szCs w:val="36"/>
        </w:rPr>
      </w:pPr>
      <w:r>
        <w:rPr>
          <w:rFonts w:ascii="方正小标宋简体" w:hAnsi="宋体" w:eastAsia="方正小标宋简体"/>
          <w:szCs w:val="36"/>
        </w:rPr>
        <w:fldChar w:fldCharType="end"/>
      </w: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pStyle w:val="2"/>
        <w:bidi w:val="0"/>
        <w:jc w:val="center"/>
        <w:rPr>
          <w:rFonts w:hint="eastAsia"/>
        </w:rPr>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2"/>
        <w:bidi w:val="0"/>
        <w:jc w:val="center"/>
        <w:rPr>
          <w:rFonts w:hint="eastAsia"/>
        </w:rPr>
      </w:pPr>
      <w:bookmarkStart w:id="16" w:name="_Toc28243"/>
    </w:p>
    <w:p>
      <w:pPr>
        <w:pStyle w:val="2"/>
        <w:bidi w:val="0"/>
        <w:jc w:val="center"/>
        <w:rPr>
          <w:rFonts w:ascii="黑体" w:eastAsia="黑体"/>
          <w:color w:val="000000"/>
          <w:sz w:val="32"/>
          <w:szCs w:val="32"/>
        </w:rPr>
      </w:pPr>
      <w:r>
        <w:rPr>
          <w:rFonts w:hint="eastAsia"/>
        </w:rPr>
        <w:t>第一部分 部门概况</w:t>
      </w:r>
      <w:bookmarkEnd w:id="14"/>
      <w:bookmarkEnd w:id="15"/>
      <w:bookmarkEnd w:id="16"/>
    </w:p>
    <w:p>
      <w:pPr>
        <w:pStyle w:val="3"/>
        <w:pageBreakBefore w:val="0"/>
        <w:widowControl w:val="0"/>
        <w:numPr>
          <w:ilvl w:val="0"/>
          <w:numId w:val="1"/>
        </w:numPr>
        <w:kinsoku/>
        <w:wordWrap/>
        <w:overflowPunct/>
        <w:topLinePunct w:val="0"/>
        <w:autoSpaceDE/>
        <w:autoSpaceDN/>
        <w:bidi w:val="0"/>
        <w:spacing w:line="360" w:lineRule="auto"/>
        <w:textAlignment w:val="auto"/>
        <w:rPr>
          <w:rStyle w:val="30"/>
          <w:rFonts w:hint="eastAsia" w:ascii="黑体" w:hAnsi="黑体" w:eastAsia="黑体"/>
          <w:b w:val="0"/>
          <w:bCs w:val="0"/>
        </w:rPr>
      </w:pPr>
      <w:bookmarkStart w:id="17" w:name="_Toc15396600"/>
      <w:bookmarkStart w:id="18" w:name="_Toc15377197"/>
      <w:bookmarkStart w:id="19" w:name="_Toc27017"/>
      <w:r>
        <w:rPr>
          <w:rFonts w:hint="eastAsia" w:ascii="黑体" w:hAnsi="黑体" w:eastAsia="黑体"/>
          <w:b w:val="0"/>
          <w:color w:val="000000"/>
        </w:rPr>
        <w:t>基</w:t>
      </w:r>
      <w:r>
        <w:rPr>
          <w:rStyle w:val="30"/>
          <w:rFonts w:hint="eastAsia" w:ascii="黑体" w:hAnsi="黑体" w:eastAsia="黑体"/>
          <w:b w:val="0"/>
          <w:bCs w:val="0"/>
        </w:rPr>
        <w:t>本职能及主要工作</w:t>
      </w:r>
      <w:bookmarkEnd w:id="17"/>
      <w:bookmarkEnd w:id="18"/>
      <w:bookmarkEnd w:id="19"/>
      <w:bookmarkStart w:id="20" w:name="_Toc15377198"/>
      <w:bookmarkStart w:id="21" w:name="_Toc15378445"/>
    </w:p>
    <w:p>
      <w:pPr>
        <w:pStyle w:val="3"/>
        <w:pageBreakBefore w:val="0"/>
        <w:widowControl w:val="0"/>
        <w:numPr>
          <w:ilvl w:val="0"/>
          <w:numId w:val="0"/>
        </w:numPr>
        <w:kinsoku/>
        <w:wordWrap/>
        <w:overflowPunct/>
        <w:topLinePunct w:val="0"/>
        <w:autoSpaceDE/>
        <w:autoSpaceDN/>
        <w:bidi w:val="0"/>
        <w:spacing w:line="360" w:lineRule="auto"/>
        <w:ind w:firstLine="640" w:firstLineChars="200"/>
        <w:textAlignment w:val="auto"/>
        <w:rPr>
          <w:rFonts w:hint="eastAsia" w:ascii="仿宋" w:hAnsi="仿宋" w:eastAsia="仿宋" w:cs="Times New Roman"/>
          <w:b w:val="0"/>
          <w:bCs/>
          <w:color w:val="000000"/>
          <w:kern w:val="0"/>
          <w:sz w:val="32"/>
          <w:szCs w:val="32"/>
          <w:lang w:val="en-US" w:eastAsia="zh-CN" w:bidi="ar-SA"/>
        </w:rPr>
      </w:pPr>
      <w:bookmarkStart w:id="22" w:name="_Toc24963"/>
      <w:r>
        <w:rPr>
          <w:rFonts w:hint="eastAsia" w:ascii="仿宋" w:hAnsi="仿宋" w:eastAsia="仿宋" w:cs="Times New Roman"/>
          <w:b w:val="0"/>
          <w:bCs/>
          <w:color w:val="000000"/>
          <w:kern w:val="0"/>
          <w:sz w:val="32"/>
          <w:szCs w:val="32"/>
          <w:lang w:val="en-US" w:eastAsia="zh-CN" w:bidi="ar-SA"/>
        </w:rPr>
        <w:t>（一）主要职能。</w:t>
      </w:r>
      <w:bookmarkEnd w:id="20"/>
      <w:bookmarkEnd w:id="21"/>
      <w:bookmarkEnd w:id="22"/>
    </w:p>
    <w:p>
      <w:pPr>
        <w:pStyle w:val="5"/>
        <w:keepNext w:val="0"/>
        <w:keepLines w:val="0"/>
        <w:pageBreakBefore w:val="0"/>
        <w:widowControl w:val="0"/>
        <w:kinsoku/>
        <w:wordWrap/>
        <w:overflowPunct/>
        <w:topLinePunct w:val="0"/>
        <w:autoSpaceDE/>
        <w:autoSpaceDN/>
        <w:bidi w:val="0"/>
        <w:adjustRightInd w:val="0"/>
        <w:snapToGrid w:val="0"/>
        <w:spacing w:before="93" w:line="360" w:lineRule="auto"/>
        <w:ind w:firstLine="672" w:firstLineChars="210"/>
        <w:textAlignment w:val="auto"/>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rPr>
        <w:t>宣传贯彻党中央、国务院，省委、省政府和州委、州政府有关农业、农村经济工作和社会发展的方针、政策。</w:t>
      </w:r>
    </w:p>
    <w:p>
      <w:pPr>
        <w:pStyle w:val="5"/>
        <w:keepNext w:val="0"/>
        <w:keepLines w:val="0"/>
        <w:pageBreakBefore w:val="0"/>
        <w:widowControl w:val="0"/>
        <w:kinsoku/>
        <w:wordWrap/>
        <w:overflowPunct/>
        <w:topLinePunct w:val="0"/>
        <w:autoSpaceDE/>
        <w:autoSpaceDN/>
        <w:bidi w:val="0"/>
        <w:adjustRightInd w:val="0"/>
        <w:snapToGrid w:val="0"/>
        <w:spacing w:before="93" w:line="360" w:lineRule="auto"/>
        <w:ind w:firstLine="672" w:firstLineChars="210"/>
        <w:textAlignment w:val="auto"/>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rPr>
        <w:t>研究制定全州供销合作社发展规划；指导全州供销合作社的改革和发展，加快体制、机制创新，探索社会主义市场经济条件下合作经济的多种实现形式。</w:t>
      </w:r>
    </w:p>
    <w:p>
      <w:pPr>
        <w:pStyle w:val="5"/>
        <w:keepNext w:val="0"/>
        <w:keepLines w:val="0"/>
        <w:pageBreakBefore w:val="0"/>
        <w:widowControl w:val="0"/>
        <w:kinsoku/>
        <w:wordWrap/>
        <w:overflowPunct/>
        <w:topLinePunct w:val="0"/>
        <w:autoSpaceDE/>
        <w:autoSpaceDN/>
        <w:bidi w:val="0"/>
        <w:adjustRightInd w:val="0"/>
        <w:snapToGrid w:val="0"/>
        <w:spacing w:before="93" w:line="360" w:lineRule="auto"/>
        <w:ind w:firstLine="672" w:firstLineChars="210"/>
        <w:textAlignment w:val="auto"/>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3.</w:t>
      </w:r>
      <w:r>
        <w:rPr>
          <w:rFonts w:hint="eastAsia" w:ascii="仿宋" w:hAnsi="仿宋" w:eastAsia="仿宋"/>
          <w:bCs/>
          <w:color w:val="000000"/>
          <w:sz w:val="32"/>
          <w:szCs w:val="32"/>
        </w:rPr>
        <w:t>受政府委托，负责对重要农业生产资料、重要农畜产品和政策性商品经营资格审定、质量监督和行业管理及有关救灾物资的组织、储备、调运工作。</w:t>
      </w:r>
    </w:p>
    <w:p>
      <w:pPr>
        <w:pStyle w:val="5"/>
        <w:keepNext w:val="0"/>
        <w:keepLines w:val="0"/>
        <w:pageBreakBefore w:val="0"/>
        <w:widowControl w:val="0"/>
        <w:kinsoku/>
        <w:wordWrap/>
        <w:overflowPunct/>
        <w:topLinePunct w:val="0"/>
        <w:autoSpaceDE/>
        <w:autoSpaceDN/>
        <w:bidi w:val="0"/>
        <w:adjustRightInd w:val="0"/>
        <w:snapToGrid w:val="0"/>
        <w:spacing w:before="93" w:line="360" w:lineRule="auto"/>
        <w:ind w:firstLine="672" w:firstLineChars="210"/>
        <w:textAlignment w:val="auto"/>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4.</w:t>
      </w:r>
      <w:r>
        <w:rPr>
          <w:rFonts w:hint="eastAsia" w:ascii="仿宋" w:hAnsi="仿宋" w:eastAsia="仿宋"/>
          <w:bCs/>
          <w:color w:val="000000"/>
          <w:sz w:val="32"/>
          <w:szCs w:val="32"/>
        </w:rPr>
        <w:t>协调同政府有关部门、社会组织的关系，研究供销合作经济运行中的重大问题；了解、反应供销合作社系统和农牧民群众的意见和要求，维护合作经济组织的合法权益。</w:t>
      </w:r>
    </w:p>
    <w:p>
      <w:pPr>
        <w:pStyle w:val="5"/>
        <w:keepNext w:val="0"/>
        <w:keepLines w:val="0"/>
        <w:pageBreakBefore w:val="0"/>
        <w:widowControl w:val="0"/>
        <w:kinsoku/>
        <w:wordWrap/>
        <w:overflowPunct/>
        <w:topLinePunct w:val="0"/>
        <w:autoSpaceDE/>
        <w:autoSpaceDN/>
        <w:bidi w:val="0"/>
        <w:adjustRightInd w:val="0"/>
        <w:snapToGrid w:val="0"/>
        <w:spacing w:before="93" w:line="360" w:lineRule="auto"/>
        <w:ind w:firstLine="672" w:firstLineChars="210"/>
        <w:textAlignment w:val="auto"/>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5.</w:t>
      </w:r>
      <w:r>
        <w:rPr>
          <w:rFonts w:hint="eastAsia" w:ascii="仿宋" w:hAnsi="仿宋" w:eastAsia="仿宋"/>
          <w:bCs/>
          <w:color w:val="000000"/>
          <w:sz w:val="32"/>
          <w:szCs w:val="32"/>
        </w:rPr>
        <w:t>组织全州供销社系统参与和推进农业产业化经营，加强农畜产品市场调查研究，培育农畜产品市场，组织发展专业合作社、消费合作社等中介服务组织，培育龙头企业，加强商品供求、市场、信息服务体系建设。</w:t>
      </w:r>
    </w:p>
    <w:p>
      <w:pPr>
        <w:pStyle w:val="5"/>
        <w:keepNext w:val="0"/>
        <w:keepLines w:val="0"/>
        <w:pageBreakBefore w:val="0"/>
        <w:kinsoku/>
        <w:wordWrap/>
        <w:overflowPunct/>
        <w:topLinePunct w:val="0"/>
        <w:autoSpaceDN/>
        <w:bidi w:val="0"/>
        <w:adjustRightInd w:val="0"/>
        <w:snapToGrid w:val="0"/>
        <w:spacing w:before="93" w:line="360" w:lineRule="auto"/>
        <w:ind w:firstLine="672" w:firstLineChars="210"/>
        <w:textAlignment w:val="auto"/>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6.</w:t>
      </w:r>
      <w:r>
        <w:rPr>
          <w:rFonts w:hint="eastAsia" w:ascii="仿宋" w:hAnsi="仿宋" w:eastAsia="仿宋"/>
          <w:bCs/>
          <w:color w:val="000000"/>
          <w:sz w:val="32"/>
          <w:szCs w:val="32"/>
        </w:rPr>
        <w:t>指导农村社会化服务体系建设，推进建立现代流通体系和现代营销方式，发展社区性、综合性、便民性社区综合服务社，满足农牧民生产、生活等社会化服务的需要。</w:t>
      </w:r>
    </w:p>
    <w:p>
      <w:pPr>
        <w:pStyle w:val="5"/>
        <w:keepNext w:val="0"/>
        <w:keepLines w:val="0"/>
        <w:pageBreakBefore w:val="0"/>
        <w:kinsoku/>
        <w:wordWrap/>
        <w:overflowPunct/>
        <w:topLinePunct w:val="0"/>
        <w:autoSpaceDN/>
        <w:bidi w:val="0"/>
        <w:adjustRightInd w:val="0"/>
        <w:snapToGrid w:val="0"/>
        <w:spacing w:before="93" w:line="360" w:lineRule="auto"/>
        <w:ind w:firstLine="672" w:firstLineChars="210"/>
        <w:textAlignment w:val="auto"/>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7.</w:t>
      </w:r>
      <w:r>
        <w:rPr>
          <w:rFonts w:hint="eastAsia" w:ascii="仿宋" w:hAnsi="仿宋" w:eastAsia="仿宋"/>
          <w:bCs/>
          <w:color w:val="000000"/>
          <w:sz w:val="32"/>
          <w:szCs w:val="32"/>
        </w:rPr>
        <w:t>监督和管理社有资产，确保社有资产的保值、增值，对直属企业行使出资人的职权，依法享有资产受益、重大决策和选择经营管理者等权利。</w:t>
      </w:r>
    </w:p>
    <w:p>
      <w:pPr>
        <w:pStyle w:val="5"/>
        <w:keepNext w:val="0"/>
        <w:keepLines w:val="0"/>
        <w:pageBreakBefore w:val="0"/>
        <w:kinsoku/>
        <w:wordWrap/>
        <w:overflowPunct/>
        <w:topLinePunct w:val="0"/>
        <w:autoSpaceDN/>
        <w:bidi w:val="0"/>
        <w:adjustRightInd w:val="0"/>
        <w:snapToGrid w:val="0"/>
        <w:spacing w:before="93" w:line="360" w:lineRule="auto"/>
        <w:ind w:firstLine="672" w:firstLineChars="210"/>
        <w:textAlignment w:val="auto"/>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8.</w:t>
      </w:r>
      <w:r>
        <w:rPr>
          <w:rFonts w:hint="eastAsia" w:ascii="仿宋" w:hAnsi="仿宋" w:eastAsia="仿宋"/>
          <w:bCs/>
          <w:color w:val="000000"/>
          <w:sz w:val="32"/>
          <w:szCs w:val="32"/>
        </w:rPr>
        <w:t>积极参与供销合作经济对外交流活动。</w:t>
      </w:r>
    </w:p>
    <w:p>
      <w:pPr>
        <w:pStyle w:val="5"/>
        <w:keepNext w:val="0"/>
        <w:keepLines w:val="0"/>
        <w:pageBreakBefore w:val="0"/>
        <w:kinsoku/>
        <w:wordWrap/>
        <w:overflowPunct/>
        <w:topLinePunct w:val="0"/>
        <w:autoSpaceDN/>
        <w:bidi w:val="0"/>
        <w:adjustRightInd w:val="0"/>
        <w:snapToGrid w:val="0"/>
        <w:spacing w:before="93" w:line="360" w:lineRule="auto"/>
        <w:ind w:firstLine="672" w:firstLineChars="210"/>
        <w:textAlignment w:val="auto"/>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rPr>
        <w:t>承担州政府交办的其他事项。</w:t>
      </w:r>
    </w:p>
    <w:p>
      <w:pPr>
        <w:pStyle w:val="5"/>
        <w:keepNext w:val="0"/>
        <w:keepLines w:val="0"/>
        <w:pageBreakBefore w:val="0"/>
        <w:kinsoku/>
        <w:wordWrap/>
        <w:overflowPunct/>
        <w:topLinePunct w:val="0"/>
        <w:autoSpaceDN/>
        <w:bidi w:val="0"/>
        <w:adjustRightInd w:val="0"/>
        <w:snapToGrid w:val="0"/>
        <w:spacing w:before="93" w:line="360" w:lineRule="auto"/>
        <w:ind w:firstLine="672" w:firstLineChars="210"/>
        <w:textAlignment w:val="auto"/>
        <w:outlineLvl w:val="2"/>
        <w:rPr>
          <w:rFonts w:hint="eastAsia" w:ascii="仿宋" w:hAnsi="仿宋" w:eastAsia="仿宋"/>
          <w:bCs/>
          <w:color w:val="000000"/>
          <w:sz w:val="32"/>
          <w:szCs w:val="32"/>
        </w:rPr>
      </w:pPr>
      <w:bookmarkStart w:id="23" w:name="_Toc15377199"/>
      <w:bookmarkStart w:id="24"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23"/>
      <w:bookmarkEnd w:id="24"/>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1.以发展为第一要务，积极推进供销社综合改革。</w:t>
      </w:r>
    </w:p>
    <w:p>
      <w:pPr>
        <w:pStyle w:val="5"/>
        <w:keepNext w:val="0"/>
        <w:keepLines w:val="0"/>
        <w:pageBreakBefore w:val="0"/>
        <w:widowControl w:val="0"/>
        <w:kinsoku/>
        <w:wordWrap/>
        <w:overflowPunct/>
        <w:topLinePunct w:val="0"/>
        <w:autoSpaceDE/>
        <w:autoSpaceDN/>
        <w:bidi w:val="0"/>
        <w:adjustRightInd w:val="0"/>
        <w:snapToGrid w:val="0"/>
        <w:spacing w:beforeLines="0" w:line="360" w:lineRule="auto"/>
        <w:ind w:firstLine="672" w:firstLineChars="210"/>
        <w:textAlignment w:val="auto"/>
        <w:outlineLvl w:val="2"/>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2.以项目为抓手，加速构建供销社经营服务体系。</w:t>
      </w:r>
    </w:p>
    <w:p>
      <w:pPr>
        <w:keepNext w:val="0"/>
        <w:keepLines w:val="0"/>
        <w:pageBreakBefore w:val="0"/>
        <w:widowControl/>
        <w:shd w:val="clear" w:color="auto"/>
        <w:kinsoku/>
        <w:wordWrap/>
        <w:overflowPunct/>
        <w:topLinePunct w:val="0"/>
        <w:autoSpaceDE w:val="0"/>
        <w:autoSpaceDN/>
        <w:bidi w:val="0"/>
        <w:adjustRightInd w:val="0"/>
        <w:snapToGrid w:val="0"/>
        <w:spacing w:line="360" w:lineRule="auto"/>
        <w:ind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shd w:val="clear" w:color="auto" w:fill="auto"/>
          <w:lang w:val="en-US" w:eastAsia="zh-CN" w:bidi="ar-SA"/>
        </w:rPr>
        <w:t>3.以“四川扶贫集体商标”为载体，抓农产品销售。</w:t>
      </w:r>
    </w:p>
    <w:p>
      <w:pPr>
        <w:pStyle w:val="35"/>
        <w:keepNext w:val="0"/>
        <w:keepLines w:val="0"/>
        <w:pageBreakBefore w:val="0"/>
        <w:kinsoku/>
        <w:wordWrap/>
        <w:overflowPunct/>
        <w:topLinePunct w:val="0"/>
        <w:autoSpaceDN/>
        <w:bidi w:val="0"/>
        <w:adjustRightInd w:val="0"/>
        <w:snapToGrid w:val="0"/>
        <w:spacing w:line="360" w:lineRule="auto"/>
        <w:ind w:firstLine="640" w:firstLineChars="200"/>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4.以合作建平台，着力东西部扶贫协作。</w:t>
      </w:r>
    </w:p>
    <w:p>
      <w:pPr>
        <w:pStyle w:val="35"/>
        <w:keepNext w:val="0"/>
        <w:keepLines w:val="0"/>
        <w:pageBreakBefore w:val="0"/>
        <w:kinsoku/>
        <w:wordWrap/>
        <w:overflowPunct/>
        <w:topLinePunct w:val="0"/>
        <w:autoSpaceDN/>
        <w:bidi w:val="0"/>
        <w:adjustRightInd w:val="0"/>
        <w:snapToGrid w:val="0"/>
        <w:spacing w:line="360" w:lineRule="auto"/>
        <w:ind w:firstLine="640" w:firstLineChars="200"/>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5.以农资结构调整为主线，助力生态示范区建设。</w:t>
      </w:r>
    </w:p>
    <w:p>
      <w:pPr>
        <w:pStyle w:val="35"/>
        <w:keepNext w:val="0"/>
        <w:keepLines w:val="0"/>
        <w:pageBreakBefore w:val="0"/>
        <w:kinsoku/>
        <w:wordWrap/>
        <w:overflowPunct/>
        <w:topLinePunct w:val="0"/>
        <w:autoSpaceDN/>
        <w:bidi w:val="0"/>
        <w:adjustRightInd w:val="0"/>
        <w:snapToGrid w:val="0"/>
        <w:spacing w:line="360" w:lineRule="auto"/>
        <w:ind w:firstLine="640" w:firstLineChars="200"/>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6.以落实责任制为统领，抓系统经营安全工作。</w:t>
      </w:r>
    </w:p>
    <w:p>
      <w:pPr>
        <w:keepNext w:val="0"/>
        <w:keepLines w:val="0"/>
        <w:pageBreakBefore w:val="0"/>
        <w:kinsoku/>
        <w:wordWrap/>
        <w:overflowPunct/>
        <w:topLinePunct w:val="0"/>
        <w:autoSpaceDN/>
        <w:bidi w:val="0"/>
        <w:adjustRightInd w:val="0"/>
        <w:snapToGrid w:val="0"/>
        <w:spacing w:line="360" w:lineRule="auto"/>
        <w:ind w:firstLine="640" w:firstLineChars="200"/>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7.以“不忘初心、牢记使命”主题教育活动为主线，进一步坚定理想信念。</w:t>
      </w:r>
    </w:p>
    <w:p>
      <w:pPr>
        <w:pStyle w:val="35"/>
        <w:keepNext w:val="0"/>
        <w:keepLines w:val="0"/>
        <w:pageBreakBefore w:val="0"/>
        <w:kinsoku/>
        <w:wordWrap/>
        <w:overflowPunct/>
        <w:topLinePunct w:val="0"/>
        <w:autoSpaceDN/>
        <w:bidi w:val="0"/>
        <w:adjustRightInd w:val="0"/>
        <w:snapToGrid w:val="0"/>
        <w:spacing w:line="360" w:lineRule="auto"/>
        <w:ind w:firstLine="640" w:firstLineChars="200"/>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8.按照从严治党的要求，持之以恒抓党风廉政建设。</w:t>
      </w:r>
    </w:p>
    <w:p>
      <w:pPr>
        <w:keepNext w:val="0"/>
        <w:keepLines w:val="0"/>
        <w:pageBreakBefore w:val="0"/>
        <w:widowControl/>
        <w:shd w:val="clear" w:color="auto"/>
        <w:kinsoku/>
        <w:wordWrap/>
        <w:overflowPunct/>
        <w:topLinePunct w:val="0"/>
        <w:autoSpaceDN/>
        <w:bidi w:val="0"/>
        <w:adjustRightInd w:val="0"/>
        <w:snapToGrid w:val="0"/>
        <w:spacing w:line="360" w:lineRule="auto"/>
        <w:ind w:firstLine="640" w:firstLineChars="200"/>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9.以密切联系群众为根本，抓好脱贫攻坚和“两联一进”群众工作。</w:t>
      </w:r>
    </w:p>
    <w:p>
      <w:pPr>
        <w:pStyle w:val="3"/>
        <w:pageBreakBefore w:val="0"/>
        <w:kinsoku/>
        <w:wordWrap/>
        <w:overflowPunct/>
        <w:topLinePunct w:val="0"/>
        <w:autoSpaceDN/>
        <w:bidi w:val="0"/>
        <w:spacing w:line="360" w:lineRule="auto"/>
        <w:textAlignment w:val="auto"/>
        <w:rPr>
          <w:rStyle w:val="30"/>
          <w:b w:val="0"/>
          <w:bCs w:val="0"/>
        </w:rPr>
      </w:pPr>
      <w:bookmarkStart w:id="25" w:name="_Toc15396601"/>
      <w:bookmarkStart w:id="26" w:name="_Toc15377200"/>
      <w:bookmarkStart w:id="27" w:name="_Toc13430"/>
      <w:r>
        <w:rPr>
          <w:rFonts w:hint="eastAsia" w:ascii="黑体" w:eastAsia="黑体"/>
          <w:b w:val="0"/>
          <w:color w:val="000000"/>
        </w:rPr>
        <w:t>二、</w:t>
      </w:r>
      <w:r>
        <w:rPr>
          <w:rFonts w:hint="eastAsia" w:ascii="黑体" w:hAnsi="黑体" w:eastAsia="黑体"/>
          <w:b w:val="0"/>
          <w:color w:val="000000"/>
        </w:rPr>
        <w:t>机</w:t>
      </w:r>
      <w:r>
        <w:rPr>
          <w:rStyle w:val="30"/>
          <w:rFonts w:hint="eastAsia" w:ascii="黑体" w:hAnsi="黑体" w:eastAsia="黑体"/>
          <w:b w:val="0"/>
          <w:bCs w:val="0"/>
        </w:rPr>
        <w:t>构设置</w:t>
      </w:r>
      <w:bookmarkEnd w:id="25"/>
      <w:bookmarkEnd w:id="26"/>
      <w:bookmarkEnd w:id="27"/>
    </w:p>
    <w:p>
      <w:pPr>
        <w:pStyle w:val="2"/>
        <w:keepNext/>
        <w:keepLines/>
        <w:pageBreakBefore w:val="0"/>
        <w:widowControl w:val="0"/>
        <w:kinsoku/>
        <w:wordWrap/>
        <w:overflowPunct/>
        <w:topLinePunct w:val="0"/>
        <w:autoSpaceDE/>
        <w:autoSpaceDN/>
        <w:bidi w:val="0"/>
        <w:adjustRightInd/>
        <w:snapToGrid w:val="0"/>
        <w:spacing w:line="360" w:lineRule="auto"/>
        <w:ind w:right="442" w:firstLine="640" w:firstLineChars="200"/>
        <w:jc w:val="left"/>
        <w:textAlignment w:val="auto"/>
        <w:rPr>
          <w:rFonts w:hint="eastAsia" w:ascii="仿宋" w:hAnsi="仿宋" w:eastAsia="仿宋" w:cs="仿宋"/>
          <w:b w:val="0"/>
          <w:bCs w:val="0"/>
          <w:sz w:val="32"/>
          <w:szCs w:val="32"/>
          <w:lang w:val="en-US" w:eastAsia="zh-CN"/>
        </w:rPr>
      </w:pPr>
      <w:bookmarkStart w:id="28" w:name="_Toc25575"/>
      <w:r>
        <w:rPr>
          <w:rFonts w:hint="eastAsia" w:ascii="仿宋" w:hAnsi="仿宋" w:eastAsia="仿宋" w:cs="仿宋"/>
          <w:b w:val="0"/>
          <w:bCs w:val="0"/>
          <w:sz w:val="32"/>
          <w:szCs w:val="32"/>
          <w:lang w:eastAsia="zh-CN"/>
        </w:rPr>
        <w:t>阿坝州供销社属参照公务员法管理的事业单位，为独立核算单位，无二级预算单位。</w:t>
      </w:r>
      <w:r>
        <w:rPr>
          <w:rFonts w:hint="eastAsia" w:ascii="仿宋" w:hAnsi="仿宋" w:eastAsia="仿宋" w:cs="仿宋"/>
          <w:b w:val="0"/>
          <w:bCs w:val="0"/>
          <w:sz w:val="32"/>
          <w:szCs w:val="32"/>
          <w:lang w:val="en-US" w:eastAsia="zh-CN"/>
        </w:rPr>
        <w:t>2019年年底阿坝州供销社编制21名，在职职工实有人数16人。2019年人员编制数无变化，退休职工1名。</w:t>
      </w:r>
      <w:bookmarkEnd w:id="28"/>
    </w:p>
    <w:p>
      <w:pPr>
        <w:pageBreakBefore w:val="0"/>
        <w:widowControl/>
        <w:kinsoku/>
        <w:wordWrap/>
        <w:overflowPunct/>
        <w:topLinePunct w:val="0"/>
        <w:autoSpaceDN/>
        <w:bidi w:val="0"/>
        <w:spacing w:line="360" w:lineRule="auto"/>
        <w:jc w:val="left"/>
        <w:textAlignment w:val="auto"/>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9"/>
          <w:rFonts w:ascii="黑体" w:hAnsi="黑体" w:eastAsia="黑体"/>
          <w:b w:val="0"/>
          <w:bCs w:val="0"/>
        </w:rPr>
      </w:pPr>
      <w:bookmarkStart w:id="29" w:name="_Toc15396602"/>
      <w:bookmarkStart w:id="30" w:name="_Toc15377204"/>
      <w:bookmarkStart w:id="31" w:name="_Toc4579"/>
      <w:r>
        <w:rPr>
          <w:rFonts w:hint="eastAsia" w:ascii="黑体" w:hAnsi="黑体" w:eastAsia="黑体"/>
          <w:b w:val="0"/>
          <w:color w:val="000000"/>
        </w:rPr>
        <w:t>第二部分</w:t>
      </w:r>
      <w:r>
        <w:rPr>
          <w:rFonts w:hint="eastAsia" w:ascii="黑体" w:hAnsi="黑体" w:eastAsia="黑体"/>
          <w:color w:val="000000"/>
        </w:rPr>
        <w:t xml:space="preserve"> </w:t>
      </w:r>
      <w:r>
        <w:rPr>
          <w:rStyle w:val="29"/>
          <w:rFonts w:hint="eastAsia" w:ascii="黑体" w:hAnsi="黑体" w:eastAsia="黑体"/>
          <w:b w:val="0"/>
          <w:bCs w:val="0"/>
        </w:rPr>
        <w:t>2019年度部门决算情况说明</w:t>
      </w:r>
      <w:bookmarkEnd w:id="29"/>
      <w:bookmarkEnd w:id="30"/>
      <w:bookmarkEnd w:id="31"/>
    </w:p>
    <w:p/>
    <w:p>
      <w:pPr>
        <w:pStyle w:val="28"/>
        <w:numPr>
          <w:ilvl w:val="0"/>
          <w:numId w:val="2"/>
        </w:numPr>
        <w:spacing w:line="600" w:lineRule="exact"/>
        <w:ind w:firstLineChars="0"/>
        <w:outlineLvl w:val="1"/>
        <w:rPr>
          <w:rStyle w:val="30"/>
          <w:rFonts w:ascii="黑体" w:hAnsi="黑体" w:eastAsia="黑体"/>
          <w:b w:val="0"/>
        </w:rPr>
      </w:pPr>
      <w:bookmarkStart w:id="32" w:name="_Toc15377205"/>
      <w:bookmarkStart w:id="33" w:name="_Toc15396603"/>
      <w:bookmarkStart w:id="34" w:name="_Toc29560"/>
      <w:r>
        <w:rPr>
          <w:rFonts w:hint="eastAsia" w:ascii="黑体" w:hAnsi="黑体" w:eastAsia="黑体"/>
          <w:color w:val="000000"/>
          <w:sz w:val="32"/>
          <w:szCs w:val="32"/>
        </w:rPr>
        <w:t>收</w:t>
      </w:r>
      <w:r>
        <w:rPr>
          <w:rStyle w:val="30"/>
          <w:rFonts w:hint="eastAsia" w:ascii="黑体" w:hAnsi="黑体" w:eastAsia="黑体"/>
          <w:b w:val="0"/>
        </w:rPr>
        <w:t>入支出决算总体情况说明</w:t>
      </w:r>
      <w:bookmarkEnd w:id="32"/>
      <w:bookmarkEnd w:id="33"/>
      <w:bookmarkEnd w:id="34"/>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ascii="仿宋" w:hAnsi="仿宋" w:eastAsia="仿宋"/>
          <w:color w:val="000000"/>
          <w:sz w:val="32"/>
          <w:szCs w:val="32"/>
          <w:lang w:val="en-US"/>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876.34</w:t>
      </w:r>
      <w:r>
        <w:rPr>
          <w:rFonts w:hint="eastAsia" w:ascii="仿宋" w:hAnsi="仿宋" w:eastAsia="仿宋"/>
          <w:color w:val="000000"/>
          <w:sz w:val="32"/>
          <w:szCs w:val="32"/>
        </w:rPr>
        <w:t>万元。与2018年相比，收</w:t>
      </w:r>
      <w:r>
        <w:rPr>
          <w:rFonts w:hint="eastAsia" w:ascii="仿宋" w:hAnsi="仿宋" w:eastAsia="仿宋"/>
          <w:color w:val="000000"/>
          <w:sz w:val="32"/>
          <w:szCs w:val="32"/>
          <w:lang w:eastAsia="zh-CN"/>
        </w:rPr>
        <w:t>入减少</w:t>
      </w:r>
      <w:r>
        <w:rPr>
          <w:rFonts w:hint="eastAsia" w:ascii="仿宋" w:hAnsi="仿宋" w:eastAsia="仿宋"/>
          <w:color w:val="000000"/>
          <w:sz w:val="32"/>
          <w:szCs w:val="32"/>
          <w:lang w:val="en-US" w:eastAsia="zh-CN"/>
        </w:rPr>
        <w:t>118.79万元，下降24%，主要变动原因是2019年发放的目标奖为结转结余资金，未纳入本年收入；</w:t>
      </w:r>
      <w:r>
        <w:rPr>
          <w:rFonts w:hint="eastAsia" w:ascii="仿宋" w:hAnsi="仿宋" w:eastAsia="仿宋"/>
          <w:color w:val="000000"/>
          <w:sz w:val="32"/>
          <w:szCs w:val="32"/>
          <w:lang w:eastAsia="zh-CN"/>
        </w:rPr>
        <w:t>支出</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17.28</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2019年在职人员较上年减少一人。</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_GB2312" w:eastAsia="仿宋_GB2312"/>
          <w:color w:val="000000"/>
          <w:sz w:val="32"/>
          <w:szCs w:val="32"/>
          <w:lang w:eastAsia="zh-CN"/>
        </w:rPr>
        <w:drawing>
          <wp:anchor distT="0" distB="0" distL="114300" distR="114300" simplePos="0" relativeHeight="251658240" behindDoc="0" locked="0" layoutInCell="1" allowOverlap="1">
            <wp:simplePos x="0" y="0"/>
            <wp:positionH relativeFrom="column">
              <wp:posOffset>458470</wp:posOffset>
            </wp:positionH>
            <wp:positionV relativeFrom="paragraph">
              <wp:posOffset>200660</wp:posOffset>
            </wp:positionV>
            <wp:extent cx="4337685" cy="2924175"/>
            <wp:effectExtent l="4445" t="4445" r="20320" b="508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w:t>
      </w:r>
    </w:p>
    <w:p>
      <w:pPr>
        <w:pStyle w:val="28"/>
        <w:numPr>
          <w:ilvl w:val="0"/>
          <w:numId w:val="2"/>
        </w:numPr>
        <w:spacing w:line="600" w:lineRule="exact"/>
        <w:ind w:firstLineChars="0"/>
        <w:outlineLvl w:val="1"/>
        <w:rPr>
          <w:rStyle w:val="30"/>
          <w:rFonts w:ascii="黑体" w:hAnsi="黑体" w:eastAsia="黑体"/>
          <w:b w:val="0"/>
        </w:rPr>
      </w:pPr>
      <w:bookmarkStart w:id="35" w:name="_Toc15396604"/>
      <w:bookmarkStart w:id="36" w:name="_Toc27344"/>
      <w:bookmarkStart w:id="37" w:name="_Toc15377206"/>
      <w:r>
        <w:rPr>
          <w:rFonts w:hint="eastAsia" w:ascii="黑体" w:hAnsi="黑体" w:eastAsia="黑体"/>
          <w:color w:val="000000"/>
          <w:sz w:val="32"/>
          <w:szCs w:val="32"/>
        </w:rPr>
        <w:t>收</w:t>
      </w:r>
      <w:r>
        <w:rPr>
          <w:rStyle w:val="30"/>
          <w:rFonts w:hint="eastAsia" w:ascii="黑体" w:hAnsi="黑体" w:eastAsia="黑体"/>
          <w:b w:val="0"/>
        </w:rPr>
        <w:t>入决算情况说明</w:t>
      </w:r>
      <w:bookmarkEnd w:id="35"/>
      <w:bookmarkEnd w:id="36"/>
      <w:bookmarkEnd w:id="37"/>
    </w:p>
    <w:p>
      <w:pPr>
        <w:pStyle w:val="12"/>
        <w:keepNext w:val="0"/>
        <w:keepLines w:val="0"/>
        <w:widowControl/>
        <w:suppressLineNumbers w:val="0"/>
        <w:spacing w:before="0" w:beforeAutospacing="0" w:after="0" w:afterAutospacing="0"/>
        <w:ind w:left="0" w:right="0"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2019 年本年收入合计385.45万元，其中：一般公共预算财政拨款收入385.22万元，占 99.94%；其他收入0.23万元，占 0.06%。</w:t>
      </w:r>
    </w:p>
    <w:p>
      <w:pPr>
        <w:spacing w:line="600" w:lineRule="exact"/>
        <w:ind w:firstLine="640" w:firstLineChars="200"/>
        <w:outlineLvl w:val="1"/>
        <w:rPr>
          <w:rFonts w:hint="eastAsia" w:ascii="仿宋_GB2312" w:eastAsia="仿宋"/>
          <w:color w:val="FF0000"/>
          <w:sz w:val="32"/>
          <w:szCs w:val="32"/>
          <w:lang w:eastAsia="zh-CN"/>
        </w:rPr>
      </w:pPr>
      <w:bookmarkStart w:id="38" w:name="_Toc21615"/>
      <w:r>
        <w:rPr>
          <w:rFonts w:hint="eastAsia" w:ascii="仿宋_GB2312" w:eastAsia="仿宋"/>
          <w:color w:val="FF0000"/>
          <w:sz w:val="32"/>
          <w:szCs w:val="32"/>
          <w:lang w:eastAsia="zh-CN"/>
        </w:rPr>
        <w:drawing>
          <wp:anchor distT="0" distB="0" distL="114300" distR="114300" simplePos="0" relativeHeight="251659264" behindDoc="0" locked="0" layoutInCell="1" allowOverlap="1">
            <wp:simplePos x="0" y="0"/>
            <wp:positionH relativeFrom="column">
              <wp:posOffset>318770</wp:posOffset>
            </wp:positionH>
            <wp:positionV relativeFrom="paragraph">
              <wp:posOffset>33020</wp:posOffset>
            </wp:positionV>
            <wp:extent cx="4641215" cy="2906395"/>
            <wp:effectExtent l="4445" t="4445" r="21590" b="2286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000000" w:themeColor="text1"/>
          <w:sz w:val="32"/>
          <w:szCs w:val="32"/>
          <w14:textFill>
            <w14:solidFill>
              <w14:schemeClr w14:val="tx1"/>
            </w14:solidFill>
          </w14:textFill>
        </w:rPr>
        <w:t>（图2：收入决算结构图）</w:t>
      </w:r>
      <w:bookmarkEnd w:id="38"/>
    </w:p>
    <w:p>
      <w:pPr>
        <w:pStyle w:val="28"/>
        <w:numPr>
          <w:ilvl w:val="0"/>
          <w:numId w:val="2"/>
        </w:numPr>
        <w:spacing w:line="600" w:lineRule="exact"/>
        <w:ind w:firstLineChars="0"/>
        <w:outlineLvl w:val="1"/>
        <w:rPr>
          <w:rStyle w:val="30"/>
          <w:rFonts w:ascii="黑体" w:hAnsi="黑体" w:eastAsia="黑体"/>
          <w:b w:val="0"/>
        </w:rPr>
      </w:pPr>
      <w:bookmarkStart w:id="39" w:name="_Toc15396605"/>
      <w:bookmarkStart w:id="40" w:name="_Toc31949"/>
      <w:bookmarkStart w:id="41" w:name="_Toc15377207"/>
      <w:r>
        <w:rPr>
          <w:rFonts w:hint="eastAsia" w:ascii="黑体" w:hAnsi="黑体" w:eastAsia="黑体"/>
          <w:color w:val="000000"/>
          <w:sz w:val="32"/>
          <w:szCs w:val="32"/>
        </w:rPr>
        <w:t>支</w:t>
      </w:r>
      <w:r>
        <w:rPr>
          <w:rStyle w:val="30"/>
          <w:rFonts w:hint="eastAsia" w:ascii="黑体" w:hAnsi="黑体" w:eastAsia="黑体"/>
          <w:b w:val="0"/>
        </w:rPr>
        <w:t>出决算情况说明</w:t>
      </w:r>
      <w:bookmarkEnd w:id="39"/>
      <w:bookmarkEnd w:id="40"/>
      <w:bookmarkEnd w:id="41"/>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ascii="仿宋_GB2312" w:eastAsia="仿宋_GB2312"/>
          <w:color w:val="FF0000"/>
          <w:sz w:val="32"/>
          <w:szCs w:val="32"/>
        </w:rPr>
      </w:pPr>
      <w:r>
        <w:rPr>
          <w:rFonts w:hint="eastAsia" w:ascii="仿宋" w:hAnsi="仿宋" w:eastAsia="仿宋"/>
          <w:color w:val="000000"/>
          <w:sz w:val="32"/>
          <w:szCs w:val="32"/>
        </w:rPr>
        <w:t>2019 年本年支出合计490.8</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万元，其中：基本支出490.8</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万元，占 100.00%。</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outlineLvl w:val="1"/>
        <w:rPr>
          <w:rStyle w:val="30"/>
          <w:rFonts w:ascii="黑体" w:hAnsi="黑体" w:eastAsia="黑体"/>
          <w:b w:val="0"/>
        </w:rPr>
      </w:pPr>
      <w:bookmarkStart w:id="42" w:name="_Toc15377208"/>
      <w:bookmarkStart w:id="43" w:name="_Toc15396606"/>
      <w:bookmarkStart w:id="44" w:name="_Toc6003"/>
      <w:r>
        <w:rPr>
          <w:rFonts w:hint="eastAsia" w:ascii="黑体" w:hAnsi="黑体" w:eastAsia="黑体"/>
          <w:color w:val="000000"/>
          <w:sz w:val="32"/>
          <w:szCs w:val="32"/>
        </w:rPr>
        <w:t>四、财</w:t>
      </w:r>
      <w:r>
        <w:rPr>
          <w:rStyle w:val="30"/>
          <w:rFonts w:hint="eastAsia" w:ascii="黑体" w:hAnsi="黑体" w:eastAsia="黑体"/>
          <w:b w:val="0"/>
        </w:rPr>
        <w:t>政拨款收入支出决算总体情况说明</w:t>
      </w:r>
      <w:bookmarkEnd w:id="42"/>
      <w:bookmarkEnd w:id="43"/>
      <w:bookmarkEnd w:id="44"/>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olor w:val="000000"/>
          <w:sz w:val="32"/>
          <w:szCs w:val="32"/>
          <w:lang w:val="en-US" w:eastAsia="zh-CN"/>
        </w:rPr>
      </w:pPr>
      <w:r>
        <w:rPr>
          <w:rFonts w:hint="eastAsia" w:ascii="仿宋" w:hAnsi="仿宋" w:eastAsia="仿宋" w:cs="Times New Roman"/>
          <w:color w:val="000000"/>
          <w:kern w:val="0"/>
          <w:sz w:val="32"/>
          <w:szCs w:val="32"/>
          <w:lang w:val="en-US" w:eastAsia="zh-CN" w:bidi="ar"/>
        </w:rPr>
        <w:t>2019 年财政拨款收入385.22万元、财政拨款支出490.88万元。与2018年相比，财政拨款收入减少118.85万元，下降24%，</w:t>
      </w:r>
      <w:r>
        <w:rPr>
          <w:rFonts w:hint="eastAsia" w:ascii="仿宋" w:hAnsi="仿宋" w:eastAsia="仿宋"/>
          <w:color w:val="000000"/>
          <w:sz w:val="32"/>
          <w:szCs w:val="32"/>
          <w:lang w:val="en-US" w:eastAsia="zh-CN"/>
        </w:rPr>
        <w:t>主要变动原因是2019年发放的目标奖为结转结余资金，未纳入本年收入；</w:t>
      </w:r>
      <w:r>
        <w:rPr>
          <w:rFonts w:hint="eastAsia" w:ascii="仿宋" w:hAnsi="仿宋" w:eastAsia="仿宋" w:cs="Times New Roman"/>
          <w:color w:val="000000"/>
          <w:kern w:val="0"/>
          <w:sz w:val="32"/>
          <w:szCs w:val="32"/>
          <w:lang w:val="en-US" w:eastAsia="zh-CN" w:bidi="ar"/>
        </w:rPr>
        <w:t>财政拨款支出减少17.09万元，下降3.36%，主要变动原因是</w:t>
      </w:r>
      <w:r>
        <w:rPr>
          <w:rFonts w:hint="eastAsia" w:ascii="仿宋" w:hAnsi="仿宋" w:eastAsia="仿宋"/>
          <w:color w:val="000000"/>
          <w:sz w:val="32"/>
          <w:szCs w:val="32"/>
          <w:lang w:val="en-US" w:eastAsia="zh-CN"/>
        </w:rPr>
        <w:t>在职人员较上年减少一人。</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 w:hAnsi="仿宋" w:eastAsia="仿宋"/>
          <w:b/>
          <w:color w:val="00B050"/>
          <w:sz w:val="32"/>
          <w:szCs w:val="32"/>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356870</wp:posOffset>
            </wp:positionH>
            <wp:positionV relativeFrom="paragraph">
              <wp:posOffset>172720</wp:posOffset>
            </wp:positionV>
            <wp:extent cx="4745355" cy="2418715"/>
            <wp:effectExtent l="4445" t="4445" r="12700" b="1524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olor w:val="000000"/>
          <w:sz w:val="32"/>
          <w:szCs w:val="32"/>
          <w:lang w:val="en-US" w:eastAsia="zh-CN"/>
        </w:rPr>
      </w:pPr>
      <w:bookmarkStart w:id="45" w:name="_Toc15377209"/>
      <w:bookmarkStart w:id="46" w:name="_Toc494"/>
      <w:bookmarkStart w:id="47" w:name="_Toc15396607"/>
      <w:r>
        <w:rPr>
          <w:rFonts w:hint="eastAsia" w:ascii="仿宋" w:hAnsi="仿宋" w:eastAsia="仿宋"/>
          <w:color w:val="000000" w:themeColor="text1"/>
          <w:sz w:val="32"/>
          <w:szCs w:val="32"/>
          <w14:textFill>
            <w14:solidFill>
              <w14:schemeClr w14:val="tx1"/>
            </w14:solidFill>
          </w14:textFill>
        </w:rPr>
        <w:t>（图</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：财政拨款收、支决算总计变动情况）</w:t>
      </w:r>
    </w:p>
    <w:p>
      <w:pPr>
        <w:spacing w:line="600" w:lineRule="exact"/>
        <w:ind w:firstLine="640" w:firstLineChars="200"/>
        <w:outlineLvl w:val="1"/>
        <w:rPr>
          <w:rStyle w:val="30"/>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30"/>
          <w:rFonts w:hint="eastAsia" w:ascii="黑体" w:hAnsi="黑体" w:eastAsia="黑体"/>
          <w:b w:val="0"/>
        </w:rPr>
        <w:t>般公共预算财政拨款支出决算情况说明</w:t>
      </w:r>
      <w:bookmarkEnd w:id="45"/>
      <w:bookmarkEnd w:id="46"/>
      <w:bookmarkEnd w:id="47"/>
    </w:p>
    <w:p>
      <w:pPr>
        <w:spacing w:line="600" w:lineRule="exact"/>
        <w:ind w:firstLine="643" w:firstLineChars="200"/>
        <w:outlineLvl w:val="2"/>
        <w:rPr>
          <w:rFonts w:ascii="仿宋" w:hAnsi="仿宋" w:eastAsia="仿宋"/>
          <w:b/>
          <w:color w:val="000000"/>
          <w:sz w:val="32"/>
          <w:szCs w:val="32"/>
        </w:rPr>
      </w:pPr>
      <w:bookmarkStart w:id="48" w:name="_Toc15377210"/>
      <w:r>
        <w:rPr>
          <w:rFonts w:hint="eastAsia" w:ascii="仿宋" w:hAnsi="仿宋" w:eastAsia="仿宋"/>
          <w:b/>
          <w:color w:val="000000"/>
          <w:sz w:val="32"/>
          <w:szCs w:val="32"/>
        </w:rPr>
        <w:t>（一）一般公共预算财政拨款支出决算总体情况</w:t>
      </w:r>
      <w:bookmarkEnd w:id="48"/>
    </w:p>
    <w:p>
      <w:pPr>
        <w:spacing w:line="600" w:lineRule="exact"/>
        <w:ind w:firstLine="640" w:firstLineChars="200"/>
        <w:rPr>
          <w:rFonts w:hint="eastAsia" w:ascii="仿宋" w:hAnsi="仿宋" w:eastAsia="仿宋" w:cs="Times New Roman"/>
          <w:color w:val="000000"/>
          <w:kern w:val="0"/>
          <w:sz w:val="32"/>
          <w:szCs w:val="32"/>
          <w:lang w:val="en-US" w:eastAsia="zh-CN" w:bidi="ar"/>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1312" behindDoc="0" locked="0" layoutInCell="1" allowOverlap="1">
            <wp:simplePos x="0" y="0"/>
            <wp:positionH relativeFrom="column">
              <wp:posOffset>258445</wp:posOffset>
            </wp:positionH>
            <wp:positionV relativeFrom="paragraph">
              <wp:posOffset>1656080</wp:posOffset>
            </wp:positionV>
            <wp:extent cx="5003800" cy="2467610"/>
            <wp:effectExtent l="4445" t="4445" r="20955" b="2349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s="Times New Roman"/>
          <w:color w:val="000000"/>
          <w:kern w:val="0"/>
          <w:sz w:val="32"/>
          <w:szCs w:val="32"/>
          <w:lang w:val="en-US" w:eastAsia="zh-CN" w:bidi="ar"/>
        </w:rPr>
        <w:t>2019 年一般公共预算财政拨款支出490.88万元，占本年支出合计的 100.00%。与2018年相比，一般公共预算财政拨款增加 -17.09万元，增长-3.36%。主要变动原因是</w:t>
      </w:r>
      <w:r>
        <w:rPr>
          <w:rFonts w:hint="eastAsia" w:ascii="仿宋" w:hAnsi="仿宋" w:eastAsia="仿宋"/>
          <w:color w:val="000000"/>
          <w:sz w:val="32"/>
          <w:szCs w:val="32"/>
          <w:lang w:val="en-US" w:eastAsia="zh-CN"/>
        </w:rPr>
        <w:t>在职人员较上年减少一人。</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49" w:name="_Toc15377211"/>
      <w:r>
        <w:rPr>
          <w:rFonts w:hint="eastAsia" w:ascii="仿宋" w:hAnsi="仿宋" w:eastAsia="仿宋"/>
          <w:b/>
          <w:color w:val="000000"/>
          <w:sz w:val="32"/>
          <w:szCs w:val="32"/>
        </w:rPr>
        <w:t>（二）一般公共预算财政拨款支出决算结构情况</w:t>
      </w:r>
      <w:bookmarkEnd w:id="49"/>
    </w:p>
    <w:p>
      <w:pPr>
        <w:pStyle w:val="12"/>
        <w:keepNext w:val="0"/>
        <w:keepLines w:val="0"/>
        <w:widowControl/>
        <w:suppressLineNumbers w:val="0"/>
        <w:spacing w:before="0" w:beforeAutospacing="0" w:after="0" w:afterAutospacing="0"/>
        <w:ind w:left="0" w:right="0"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s="Times New Roman"/>
          <w:color w:val="000000" w:themeColor="text1"/>
          <w:kern w:val="2"/>
          <w:sz w:val="32"/>
          <w:szCs w:val="32"/>
          <w:lang w:val="en-US" w:eastAsia="zh-CN" w:bidi="ar-SA"/>
          <w14:textFill>
            <w14:solidFill>
              <w14:schemeClr w14:val="tx1"/>
            </w14:solidFill>
          </w14:textFill>
        </w:rPr>
        <w:t>2019年一般公共预算财政拨款支出490.88万元，主要用于以下方面:社会保障和就业支出（类）44.57万元，占9.08%；卫生健康支出（类）20.80万元，占4.24%%；商业服务业等支出（类）399.18万元，占81.32%；住房保障支出（类）26.33万元，占5.36%。</w:t>
      </w: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2336" behindDoc="0" locked="0" layoutInCell="1" allowOverlap="1">
            <wp:simplePos x="0" y="0"/>
            <wp:positionH relativeFrom="column">
              <wp:posOffset>401320</wp:posOffset>
            </wp:positionH>
            <wp:positionV relativeFrom="paragraph">
              <wp:posOffset>278765</wp:posOffset>
            </wp:positionV>
            <wp:extent cx="5194300" cy="2857500"/>
            <wp:effectExtent l="5080" t="4445" r="20320" b="1460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000000"/>
          <w:sz w:val="32"/>
          <w:szCs w:val="32"/>
        </w:rPr>
        <w:t>（图</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50" w:name="_Toc15377212"/>
      <w:r>
        <w:rPr>
          <w:rFonts w:hint="eastAsia" w:ascii="仿宋" w:hAnsi="仿宋" w:eastAsia="仿宋"/>
          <w:b/>
          <w:color w:val="000000"/>
          <w:sz w:val="32"/>
          <w:szCs w:val="32"/>
        </w:rPr>
        <w:t>（三）一般公共预算财政拨款支出决算具体情况</w:t>
      </w:r>
      <w:bookmarkEnd w:id="50"/>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2"/>
        <w:rPr>
          <w:rFonts w:ascii="仿宋" w:hAnsi="仿宋" w:eastAsia="仿宋"/>
          <w:color w:val="FF0000"/>
          <w:sz w:val="32"/>
          <w:szCs w:val="32"/>
        </w:rPr>
      </w:pPr>
      <w:bookmarkStart w:id="51" w:name="_Toc15377444"/>
      <w:bookmarkStart w:id="52" w:name="_Toc15378460"/>
      <w:bookmarkStart w:id="53" w:name="_Toc15377213"/>
      <w:r>
        <w:rPr>
          <w:rFonts w:hint="eastAsia" w:ascii="仿宋" w:hAnsi="仿宋" w:eastAsia="仿宋"/>
          <w:b/>
          <w:color w:val="000000" w:themeColor="text1"/>
          <w:sz w:val="32"/>
          <w:szCs w:val="32"/>
          <w14:textFill>
            <w14:solidFill>
              <w14:schemeClr w14:val="tx1"/>
            </w14:solidFill>
          </w14:textFill>
        </w:rPr>
        <w:t>2019年般公共预算支出决算数为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490.88万元</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51"/>
      <w:bookmarkEnd w:id="52"/>
      <w:bookmarkEnd w:id="53"/>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eastAsia="仿宋_GB2312"/>
          <w:b/>
          <w:color w:val="000000"/>
          <w:sz w:val="32"/>
          <w:szCs w:val="32"/>
        </w:rPr>
      </w:pPr>
      <w:r>
        <w:rPr>
          <w:rStyle w:val="15"/>
          <w:rFonts w:hint="eastAsia" w:ascii="仿宋_GB2312" w:eastAsia="仿宋_GB2312"/>
          <w:color w:val="000000"/>
          <w:sz w:val="32"/>
          <w:szCs w:val="32"/>
          <w:lang w:val="en-US" w:eastAsia="zh-CN"/>
        </w:rPr>
        <w:t>1</w:t>
      </w:r>
      <w:r>
        <w:rPr>
          <w:rStyle w:val="15"/>
          <w:rFonts w:hint="eastAsia" w:ascii="仿宋_GB2312" w:eastAsia="仿宋_GB2312"/>
          <w:color w:val="000000"/>
          <w:sz w:val="32"/>
          <w:szCs w:val="32"/>
        </w:rPr>
        <w:t>.社会保障和就业（类）行政事业单位离退休（款） 机关事业单位基本养老保险缴费支出（项）:</w:t>
      </w:r>
      <w:r>
        <w:rPr>
          <w:rStyle w:val="15"/>
          <w:rFonts w:hint="eastAsia" w:ascii="仿宋_GB2312" w:eastAsia="仿宋_GB2312"/>
          <w:b w:val="0"/>
          <w:color w:val="000000"/>
          <w:sz w:val="32"/>
          <w:szCs w:val="32"/>
        </w:rPr>
        <w:t xml:space="preserve"> 支出决算为</w:t>
      </w:r>
      <w:r>
        <w:rPr>
          <w:rStyle w:val="15"/>
          <w:rFonts w:hint="eastAsia" w:ascii="仿宋_GB2312" w:eastAsia="仿宋_GB2312"/>
          <w:b w:val="0"/>
          <w:color w:val="000000"/>
          <w:sz w:val="32"/>
          <w:szCs w:val="32"/>
          <w:lang w:val="en-US" w:eastAsia="zh-CN"/>
        </w:rPr>
        <w:t>27.63</w:t>
      </w:r>
      <w:r>
        <w:rPr>
          <w:rStyle w:val="15"/>
          <w:rFonts w:hint="eastAsia" w:ascii="仿宋_GB2312" w:eastAsia="仿宋_GB2312"/>
          <w:b w:val="0"/>
          <w:color w:val="000000"/>
          <w:sz w:val="32"/>
          <w:szCs w:val="32"/>
        </w:rPr>
        <w:t>万元，完成预算</w:t>
      </w:r>
      <w:r>
        <w:rPr>
          <w:rStyle w:val="15"/>
          <w:rFonts w:hint="eastAsia" w:ascii="仿宋_GB2312" w:eastAsia="仿宋_GB2312"/>
          <w:b w:val="0"/>
          <w:color w:val="000000"/>
          <w:sz w:val="32"/>
          <w:szCs w:val="32"/>
          <w:lang w:val="en-US" w:eastAsia="zh-CN"/>
        </w:rPr>
        <w:t>100</w:t>
      </w:r>
      <w:r>
        <w:rPr>
          <w:rStyle w:val="15"/>
          <w:rFonts w:hint="eastAsia" w:ascii="仿宋_GB2312" w:eastAsia="仿宋_GB2312"/>
          <w:b w:val="0"/>
          <w:color w:val="000000"/>
          <w:sz w:val="32"/>
          <w:szCs w:val="32"/>
        </w:rPr>
        <w:t>%</w:t>
      </w:r>
      <w:r>
        <w:rPr>
          <w:rStyle w:val="15"/>
          <w:rFonts w:hint="eastAsia" w:ascii="仿宋_GB2312" w:eastAsia="仿宋_GB2312"/>
          <w:b w:val="0"/>
          <w:color w:val="000000"/>
          <w:sz w:val="32"/>
          <w:szCs w:val="32"/>
          <w:lang w:eastAsia="zh-CN"/>
        </w:rPr>
        <w:t>；</w:t>
      </w:r>
      <w:r>
        <w:rPr>
          <w:rStyle w:val="15"/>
          <w:rFonts w:hint="eastAsia" w:ascii="仿宋_GB2312" w:eastAsia="仿宋_GB2312"/>
          <w:color w:val="000000"/>
          <w:sz w:val="32"/>
          <w:szCs w:val="32"/>
        </w:rPr>
        <w:t>社会保障和就业（类）行政事业单位离退休（款） 机关事业单位职业年金缴费支出（项）:</w:t>
      </w:r>
      <w:r>
        <w:rPr>
          <w:rStyle w:val="15"/>
          <w:rFonts w:hint="eastAsia" w:ascii="仿宋_GB2312" w:eastAsia="仿宋_GB2312"/>
          <w:b w:val="0"/>
          <w:color w:val="000000"/>
          <w:sz w:val="32"/>
          <w:szCs w:val="32"/>
        </w:rPr>
        <w:t>出决算为</w:t>
      </w:r>
      <w:r>
        <w:rPr>
          <w:rStyle w:val="15"/>
          <w:rFonts w:hint="eastAsia" w:ascii="仿宋_GB2312" w:eastAsia="仿宋_GB2312"/>
          <w:b w:val="0"/>
          <w:color w:val="000000"/>
          <w:sz w:val="32"/>
          <w:szCs w:val="32"/>
          <w:lang w:val="en-US" w:eastAsia="zh-CN"/>
        </w:rPr>
        <w:t>16.95</w:t>
      </w:r>
      <w:r>
        <w:rPr>
          <w:rStyle w:val="15"/>
          <w:rFonts w:hint="eastAsia" w:ascii="仿宋_GB2312" w:eastAsia="仿宋_GB2312"/>
          <w:b w:val="0"/>
          <w:color w:val="000000"/>
          <w:sz w:val="32"/>
          <w:szCs w:val="32"/>
        </w:rPr>
        <w:t>万元，完成预算</w:t>
      </w:r>
      <w:r>
        <w:rPr>
          <w:rStyle w:val="15"/>
          <w:rFonts w:hint="eastAsia" w:ascii="仿宋_GB2312" w:eastAsia="仿宋_GB2312"/>
          <w:b w:val="0"/>
          <w:color w:val="000000"/>
          <w:sz w:val="32"/>
          <w:szCs w:val="32"/>
          <w:lang w:val="en-US" w:eastAsia="zh-CN"/>
        </w:rPr>
        <w:t>100</w:t>
      </w:r>
      <w:r>
        <w:rPr>
          <w:rStyle w:val="15"/>
          <w:rFonts w:hint="eastAsia" w:ascii="仿宋_GB2312" w:eastAsia="仿宋_GB2312"/>
          <w:b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Style w:val="15"/>
          <w:rFonts w:hint="eastAsia" w:ascii="仿宋_GB2312" w:eastAsia="仿宋_GB2312"/>
          <w:b w:val="0"/>
          <w:color w:val="000000"/>
          <w:sz w:val="32"/>
          <w:szCs w:val="32"/>
          <w:lang w:val="en-US" w:eastAsia="zh-CN"/>
        </w:rPr>
      </w:pPr>
      <w:r>
        <w:rPr>
          <w:rStyle w:val="15"/>
          <w:rFonts w:hint="eastAsia" w:ascii="仿宋_GB2312" w:eastAsia="仿宋_GB2312"/>
          <w:color w:val="000000"/>
          <w:sz w:val="32"/>
          <w:szCs w:val="32"/>
          <w:lang w:val="en-US" w:eastAsia="zh-CN"/>
        </w:rPr>
        <w:t>2</w:t>
      </w:r>
      <w:r>
        <w:rPr>
          <w:rStyle w:val="15"/>
          <w:rFonts w:hint="eastAsia" w:ascii="仿宋_GB2312" w:eastAsia="仿宋_GB2312"/>
          <w:color w:val="000000"/>
          <w:sz w:val="32"/>
          <w:szCs w:val="32"/>
        </w:rPr>
        <w:t>.</w:t>
      </w:r>
      <w:r>
        <w:rPr>
          <w:rStyle w:val="15"/>
          <w:rFonts w:hint="eastAsia" w:ascii="仿宋_GB2312" w:eastAsia="仿宋_GB2312"/>
          <w:color w:val="000000"/>
          <w:sz w:val="32"/>
          <w:szCs w:val="32"/>
          <w:lang w:eastAsia="zh-CN"/>
        </w:rPr>
        <w:t>卫生健康支出</w:t>
      </w:r>
      <w:r>
        <w:rPr>
          <w:rStyle w:val="15"/>
          <w:rFonts w:hint="eastAsia" w:ascii="仿宋_GB2312" w:eastAsia="仿宋_GB2312"/>
          <w:color w:val="000000"/>
          <w:sz w:val="32"/>
          <w:szCs w:val="32"/>
        </w:rPr>
        <w:t>（类）行政事业单位医疗（款）  行政单位医疗（项）:</w:t>
      </w:r>
      <w:r>
        <w:rPr>
          <w:rStyle w:val="15"/>
          <w:rFonts w:hint="eastAsia" w:ascii="仿宋_GB2312" w:eastAsia="仿宋_GB2312"/>
          <w:b w:val="0"/>
          <w:color w:val="000000"/>
          <w:sz w:val="32"/>
          <w:szCs w:val="32"/>
        </w:rPr>
        <w:t>支出决算为</w:t>
      </w:r>
      <w:r>
        <w:rPr>
          <w:rStyle w:val="15"/>
          <w:rFonts w:hint="eastAsia" w:ascii="仿宋_GB2312" w:eastAsia="仿宋_GB2312"/>
          <w:b w:val="0"/>
          <w:color w:val="000000"/>
          <w:sz w:val="32"/>
          <w:szCs w:val="32"/>
          <w:lang w:val="en-US" w:eastAsia="zh-CN"/>
        </w:rPr>
        <w:t>14.63</w:t>
      </w:r>
      <w:r>
        <w:rPr>
          <w:rStyle w:val="15"/>
          <w:rFonts w:hint="eastAsia" w:ascii="仿宋_GB2312" w:eastAsia="仿宋_GB2312"/>
          <w:b w:val="0"/>
          <w:color w:val="000000"/>
          <w:sz w:val="32"/>
          <w:szCs w:val="32"/>
        </w:rPr>
        <w:t>万元，完成预算</w:t>
      </w:r>
      <w:r>
        <w:rPr>
          <w:rStyle w:val="15"/>
          <w:rFonts w:hint="eastAsia" w:ascii="仿宋_GB2312" w:eastAsia="仿宋_GB2312"/>
          <w:b w:val="0"/>
          <w:color w:val="000000"/>
          <w:sz w:val="32"/>
          <w:szCs w:val="32"/>
          <w:lang w:val="en-US" w:eastAsia="zh-CN"/>
        </w:rPr>
        <w:t>100</w:t>
      </w:r>
      <w:r>
        <w:rPr>
          <w:rStyle w:val="15"/>
          <w:rFonts w:hint="eastAsia" w:ascii="仿宋_GB2312" w:eastAsia="仿宋_GB2312"/>
          <w:b w:val="0"/>
          <w:color w:val="000000"/>
          <w:sz w:val="32"/>
          <w:szCs w:val="32"/>
        </w:rPr>
        <w:t>%</w:t>
      </w:r>
      <w:r>
        <w:rPr>
          <w:rStyle w:val="15"/>
          <w:rFonts w:hint="eastAsia" w:ascii="仿宋_GB2312" w:eastAsia="仿宋_GB2312"/>
          <w:b w:val="0"/>
          <w:color w:val="000000"/>
          <w:sz w:val="32"/>
          <w:szCs w:val="32"/>
          <w:lang w:eastAsia="zh-CN"/>
        </w:rPr>
        <w:t>；</w:t>
      </w:r>
      <w:r>
        <w:rPr>
          <w:rStyle w:val="15"/>
          <w:rFonts w:hint="eastAsia" w:ascii="仿宋_GB2312" w:eastAsia="仿宋_GB2312"/>
          <w:color w:val="000000"/>
          <w:sz w:val="32"/>
          <w:szCs w:val="32"/>
          <w:lang w:eastAsia="zh-CN"/>
        </w:rPr>
        <w:t>卫生健康支出</w:t>
      </w:r>
      <w:r>
        <w:rPr>
          <w:rStyle w:val="15"/>
          <w:rFonts w:hint="eastAsia" w:ascii="仿宋" w:hAnsi="仿宋" w:eastAsia="仿宋"/>
          <w:bCs/>
          <w:color w:val="000000"/>
          <w:sz w:val="32"/>
          <w:szCs w:val="32"/>
        </w:rPr>
        <w:t>（类）</w:t>
      </w:r>
      <w:r>
        <w:rPr>
          <w:rStyle w:val="15"/>
          <w:rFonts w:hint="eastAsia" w:ascii="仿宋" w:hAnsi="仿宋" w:eastAsia="仿宋"/>
          <w:bCs/>
          <w:color w:val="000000"/>
          <w:sz w:val="32"/>
          <w:szCs w:val="32"/>
          <w:lang w:eastAsia="zh-CN"/>
        </w:rPr>
        <w:t>行政事业单位医疗</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公务员医疗补助（项）</w:t>
      </w:r>
      <w:r>
        <w:rPr>
          <w:rStyle w:val="15"/>
          <w:rFonts w:hint="eastAsia" w:ascii="仿宋_GB2312" w:eastAsia="仿宋_GB2312"/>
          <w:b w:val="0"/>
          <w:color w:val="000000"/>
          <w:sz w:val="32"/>
          <w:szCs w:val="32"/>
        </w:rPr>
        <w:t>支出决算为</w:t>
      </w:r>
      <w:r>
        <w:rPr>
          <w:rStyle w:val="15"/>
          <w:rFonts w:hint="eastAsia" w:ascii="仿宋_GB2312" w:eastAsia="仿宋_GB2312"/>
          <w:b w:val="0"/>
          <w:color w:val="000000"/>
          <w:sz w:val="32"/>
          <w:szCs w:val="32"/>
          <w:lang w:val="en-US" w:eastAsia="zh-CN"/>
        </w:rPr>
        <w:t>6.17</w:t>
      </w:r>
      <w:r>
        <w:rPr>
          <w:rStyle w:val="15"/>
          <w:rFonts w:hint="eastAsia" w:ascii="仿宋_GB2312" w:eastAsia="仿宋_GB2312"/>
          <w:b w:val="0"/>
          <w:color w:val="000000"/>
          <w:sz w:val="32"/>
          <w:szCs w:val="32"/>
        </w:rPr>
        <w:t>万元，完成预算</w:t>
      </w:r>
      <w:r>
        <w:rPr>
          <w:rStyle w:val="15"/>
          <w:rFonts w:hint="eastAsia" w:ascii="仿宋_GB2312" w:eastAsia="仿宋_GB2312"/>
          <w:b w:val="0"/>
          <w:color w:val="000000"/>
          <w:sz w:val="32"/>
          <w:szCs w:val="32"/>
          <w:lang w:val="en-US" w:eastAsia="zh-CN"/>
        </w:rPr>
        <w:t>100</w:t>
      </w:r>
      <w:r>
        <w:rPr>
          <w:rStyle w:val="15"/>
          <w:rFonts w:hint="eastAsia" w:ascii="仿宋_GB2312" w:eastAsia="仿宋_GB2312"/>
          <w:b w:val="0"/>
          <w:color w:val="000000"/>
          <w:sz w:val="32"/>
          <w:szCs w:val="32"/>
        </w:rPr>
        <w:t>%</w:t>
      </w:r>
      <w:r>
        <w:rPr>
          <w:rStyle w:val="15"/>
          <w:rFonts w:hint="eastAsia" w:ascii="仿宋_GB2312" w:eastAsia="仿宋_GB2312"/>
          <w:b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eastAsia="仿宋_GB2312"/>
          <w:b/>
          <w:color w:val="000000"/>
          <w:sz w:val="32"/>
          <w:szCs w:val="32"/>
        </w:rPr>
      </w:pPr>
      <w:r>
        <w:rPr>
          <w:rStyle w:val="15"/>
          <w:rFonts w:hint="eastAsia" w:ascii="仿宋_GB2312" w:eastAsia="仿宋_GB2312"/>
          <w:color w:val="000000"/>
          <w:sz w:val="32"/>
          <w:szCs w:val="32"/>
          <w:lang w:val="en-US" w:eastAsia="zh-CN"/>
        </w:rPr>
        <w:t>3</w:t>
      </w:r>
      <w:r>
        <w:rPr>
          <w:rStyle w:val="15"/>
          <w:rFonts w:hint="eastAsia" w:ascii="仿宋_GB2312" w:eastAsia="仿宋_GB2312"/>
          <w:color w:val="000000"/>
          <w:sz w:val="32"/>
          <w:szCs w:val="32"/>
        </w:rPr>
        <w:t>.商业服务业等支出（类）商业流通事务（款）行政运行（项）:</w:t>
      </w:r>
      <w:r>
        <w:rPr>
          <w:rStyle w:val="15"/>
          <w:rFonts w:hint="eastAsia" w:ascii="仿宋_GB2312" w:eastAsia="仿宋_GB2312"/>
          <w:b w:val="0"/>
          <w:color w:val="000000"/>
          <w:sz w:val="32"/>
          <w:szCs w:val="32"/>
        </w:rPr>
        <w:t xml:space="preserve"> 支出决算为</w:t>
      </w:r>
      <w:r>
        <w:rPr>
          <w:rStyle w:val="15"/>
          <w:rFonts w:hint="eastAsia" w:ascii="仿宋_GB2312" w:eastAsia="仿宋_GB2312"/>
          <w:b w:val="0"/>
          <w:color w:val="000000"/>
          <w:sz w:val="32"/>
          <w:szCs w:val="32"/>
          <w:lang w:val="en-US" w:eastAsia="zh-CN"/>
        </w:rPr>
        <w:t>399.18</w:t>
      </w:r>
      <w:r>
        <w:rPr>
          <w:rStyle w:val="15"/>
          <w:rFonts w:hint="eastAsia" w:ascii="仿宋_GB2312" w:eastAsia="仿宋_GB2312"/>
          <w:b w:val="0"/>
          <w:color w:val="000000"/>
          <w:sz w:val="32"/>
          <w:szCs w:val="32"/>
        </w:rPr>
        <w:t>万元，完成预算</w:t>
      </w:r>
      <w:r>
        <w:rPr>
          <w:rStyle w:val="15"/>
          <w:rFonts w:hint="eastAsia" w:ascii="仿宋_GB2312" w:eastAsia="仿宋_GB2312"/>
          <w:b w:val="0"/>
          <w:color w:val="000000"/>
          <w:sz w:val="32"/>
          <w:szCs w:val="32"/>
          <w:lang w:val="en-US" w:eastAsia="zh-CN"/>
        </w:rPr>
        <w:t>100%</w:t>
      </w:r>
      <w:r>
        <w:rPr>
          <w:rStyle w:val="15"/>
          <w:rFonts w:hint="eastAsia" w:ascii="仿宋_GB2312" w:eastAsia="仿宋_GB2312"/>
          <w:b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ascii="仿宋" w:hAnsi="仿宋" w:eastAsia="仿宋"/>
          <w:b/>
          <w:color w:val="000000"/>
          <w:sz w:val="32"/>
          <w:szCs w:val="32"/>
        </w:rPr>
      </w:pPr>
      <w:r>
        <w:rPr>
          <w:rStyle w:val="15"/>
          <w:rFonts w:hint="eastAsia" w:ascii="仿宋_GB2312" w:eastAsia="仿宋_GB2312"/>
          <w:color w:val="000000"/>
          <w:sz w:val="32"/>
          <w:szCs w:val="32"/>
          <w:lang w:val="en-US" w:eastAsia="zh-CN"/>
        </w:rPr>
        <w:t>4</w:t>
      </w:r>
      <w:r>
        <w:rPr>
          <w:rStyle w:val="15"/>
          <w:rFonts w:hint="eastAsia" w:ascii="仿宋_GB2312" w:eastAsia="仿宋_GB2312"/>
          <w:color w:val="000000"/>
          <w:sz w:val="32"/>
          <w:szCs w:val="32"/>
        </w:rPr>
        <w:t>.住房保障支出（类）住房改革支出（款）住房公积金（项）:</w:t>
      </w:r>
      <w:r>
        <w:rPr>
          <w:rStyle w:val="15"/>
          <w:rFonts w:hint="eastAsia" w:ascii="仿宋_GB2312" w:eastAsia="仿宋_GB2312"/>
          <w:b w:val="0"/>
          <w:color w:val="000000"/>
          <w:sz w:val="32"/>
          <w:szCs w:val="32"/>
        </w:rPr>
        <w:t xml:space="preserve"> 支出决算为</w:t>
      </w:r>
      <w:r>
        <w:rPr>
          <w:rStyle w:val="15"/>
          <w:rFonts w:hint="eastAsia" w:ascii="仿宋_GB2312" w:eastAsia="仿宋_GB2312"/>
          <w:b w:val="0"/>
          <w:color w:val="000000"/>
          <w:sz w:val="32"/>
          <w:szCs w:val="32"/>
          <w:lang w:val="en-US" w:eastAsia="zh-CN"/>
        </w:rPr>
        <w:t>25.13</w:t>
      </w:r>
      <w:r>
        <w:rPr>
          <w:rStyle w:val="15"/>
          <w:rFonts w:hint="eastAsia" w:ascii="仿宋_GB2312" w:eastAsia="仿宋_GB2312"/>
          <w:b w:val="0"/>
          <w:color w:val="000000"/>
          <w:sz w:val="32"/>
          <w:szCs w:val="32"/>
        </w:rPr>
        <w:t>万元，完成预算</w:t>
      </w:r>
      <w:r>
        <w:rPr>
          <w:rStyle w:val="15"/>
          <w:rFonts w:hint="eastAsia" w:ascii="仿宋_GB2312" w:eastAsia="仿宋_GB2312"/>
          <w:b w:val="0"/>
          <w:color w:val="000000"/>
          <w:sz w:val="32"/>
          <w:szCs w:val="32"/>
          <w:lang w:val="en-US" w:eastAsia="zh-CN"/>
        </w:rPr>
        <w:t>100</w:t>
      </w:r>
      <w:r>
        <w:rPr>
          <w:rStyle w:val="15"/>
          <w:rFonts w:hint="eastAsia" w:ascii="仿宋_GB2312" w:eastAsia="仿宋_GB2312"/>
          <w:b w:val="0"/>
          <w:color w:val="000000"/>
          <w:sz w:val="32"/>
          <w:szCs w:val="32"/>
        </w:rPr>
        <w:t>%</w:t>
      </w:r>
      <w:r>
        <w:rPr>
          <w:rStyle w:val="15"/>
          <w:rFonts w:hint="eastAsia" w:ascii="仿宋_GB2312" w:eastAsia="仿宋_GB2312"/>
          <w:b w:val="0"/>
          <w:color w:val="000000"/>
          <w:sz w:val="32"/>
          <w:szCs w:val="32"/>
          <w:lang w:eastAsia="zh-CN"/>
        </w:rPr>
        <w:t>；</w:t>
      </w:r>
      <w:r>
        <w:rPr>
          <w:rStyle w:val="15"/>
          <w:rFonts w:hint="eastAsia" w:ascii="仿宋_GB2312" w:eastAsia="仿宋_GB2312"/>
          <w:color w:val="000000"/>
          <w:sz w:val="32"/>
          <w:szCs w:val="32"/>
        </w:rPr>
        <w:t>住房保障支出（类）住房改革支出（款） 购房补贴（项）:</w:t>
      </w:r>
      <w:r>
        <w:rPr>
          <w:rStyle w:val="15"/>
          <w:rFonts w:hint="eastAsia" w:ascii="仿宋_GB2312" w:eastAsia="仿宋_GB2312"/>
          <w:b w:val="0"/>
          <w:color w:val="000000"/>
          <w:sz w:val="32"/>
          <w:szCs w:val="32"/>
        </w:rPr>
        <w:t xml:space="preserve"> 支出决算为</w:t>
      </w:r>
      <w:r>
        <w:rPr>
          <w:rStyle w:val="15"/>
          <w:rFonts w:hint="eastAsia" w:ascii="仿宋_GB2312" w:eastAsia="仿宋_GB2312"/>
          <w:b w:val="0"/>
          <w:color w:val="000000"/>
          <w:sz w:val="32"/>
          <w:szCs w:val="32"/>
          <w:lang w:val="en-US" w:eastAsia="zh-CN"/>
        </w:rPr>
        <w:t>1.20</w:t>
      </w:r>
      <w:r>
        <w:rPr>
          <w:rStyle w:val="15"/>
          <w:rFonts w:hint="eastAsia" w:ascii="仿宋_GB2312" w:eastAsia="仿宋_GB2312"/>
          <w:b w:val="0"/>
          <w:color w:val="000000"/>
          <w:sz w:val="32"/>
          <w:szCs w:val="32"/>
        </w:rPr>
        <w:t>万元，完成预算</w:t>
      </w:r>
      <w:r>
        <w:rPr>
          <w:rStyle w:val="15"/>
          <w:rFonts w:hint="eastAsia" w:ascii="仿宋_GB2312" w:eastAsia="仿宋_GB2312"/>
          <w:b w:val="0"/>
          <w:color w:val="000000"/>
          <w:sz w:val="32"/>
          <w:szCs w:val="32"/>
          <w:lang w:val="en-US" w:eastAsia="zh-CN"/>
        </w:rPr>
        <w:t>100</w:t>
      </w:r>
      <w:r>
        <w:rPr>
          <w:rStyle w:val="15"/>
          <w:rFonts w:hint="eastAsia" w:ascii="仿宋_GB2312" w:eastAsia="仿宋_GB2312"/>
          <w:b w:val="0"/>
          <w:color w:val="000000"/>
          <w:sz w:val="32"/>
          <w:szCs w:val="32"/>
        </w:rPr>
        <w:t>%。</w:t>
      </w:r>
    </w:p>
    <w:p>
      <w:pPr>
        <w:tabs>
          <w:tab w:val="right" w:pos="8306"/>
        </w:tabs>
        <w:spacing w:line="600" w:lineRule="exact"/>
        <w:ind w:firstLine="640"/>
        <w:outlineLvl w:val="1"/>
        <w:rPr>
          <w:rStyle w:val="30"/>
        </w:rPr>
      </w:pPr>
      <w:bookmarkStart w:id="54" w:name="_Toc29227"/>
      <w:bookmarkStart w:id="55" w:name="_Toc15396608"/>
      <w:bookmarkStart w:id="56"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30"/>
          <w:rFonts w:hint="eastAsia" w:ascii="黑体" w:hAnsi="黑体" w:eastAsia="黑体"/>
          <w:b w:val="0"/>
        </w:rPr>
        <w:t>般公共预算财政拨款基本支出决算情况说明</w:t>
      </w:r>
      <w:bookmarkEnd w:id="54"/>
      <w:bookmarkEnd w:id="55"/>
      <w:bookmarkEnd w:id="56"/>
      <w:r>
        <w:rPr>
          <w:rStyle w:val="30"/>
          <w:rFonts w:ascii="黑体" w:hAnsi="黑体" w:eastAsia="黑体"/>
          <w:b w:val="0"/>
        </w:rPr>
        <w:tab/>
      </w:r>
    </w:p>
    <w:p>
      <w:pPr>
        <w:spacing w:line="600" w:lineRule="exact"/>
        <w:ind w:firstLine="645"/>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9年一般公共预算财政拨款基本支出490.8</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万元，其中：</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人员经费415.65万元，主要包括：基本工资</w:t>
      </w:r>
      <w:r>
        <w:rPr>
          <w:rFonts w:hint="eastAsia" w:ascii="仿宋" w:hAnsi="仿宋" w:eastAsia="仿宋"/>
          <w:color w:val="000000"/>
          <w:sz w:val="32"/>
          <w:szCs w:val="32"/>
          <w:lang w:val="en-US" w:eastAsia="zh-CN"/>
        </w:rPr>
        <w:t>76.67万元</w:t>
      </w:r>
      <w:r>
        <w:rPr>
          <w:rFonts w:hint="eastAsia" w:ascii="仿宋" w:hAnsi="仿宋" w:eastAsia="仿宋"/>
          <w:color w:val="000000"/>
          <w:sz w:val="32"/>
          <w:szCs w:val="32"/>
        </w:rPr>
        <w:t>、津贴补贴</w:t>
      </w:r>
      <w:r>
        <w:rPr>
          <w:rFonts w:hint="eastAsia" w:ascii="仿宋" w:hAnsi="仿宋" w:eastAsia="仿宋"/>
          <w:color w:val="000000"/>
          <w:sz w:val="32"/>
          <w:szCs w:val="32"/>
          <w:lang w:val="en-US" w:eastAsia="zh-CN"/>
        </w:rPr>
        <w:t>156.55万元</w:t>
      </w:r>
      <w:r>
        <w:rPr>
          <w:rFonts w:hint="eastAsia" w:ascii="仿宋" w:hAnsi="仿宋" w:eastAsia="仿宋"/>
          <w:color w:val="000000"/>
          <w:sz w:val="32"/>
          <w:szCs w:val="32"/>
        </w:rPr>
        <w:t>、奖金</w:t>
      </w:r>
      <w:r>
        <w:rPr>
          <w:rFonts w:hint="eastAsia" w:ascii="仿宋" w:hAnsi="仿宋" w:eastAsia="仿宋"/>
          <w:color w:val="000000"/>
          <w:sz w:val="32"/>
          <w:szCs w:val="32"/>
          <w:lang w:val="en-US" w:eastAsia="zh-CN"/>
        </w:rPr>
        <w:t>6.83万元</w:t>
      </w:r>
      <w:r>
        <w:rPr>
          <w:rFonts w:hint="eastAsia" w:ascii="仿宋" w:hAnsi="仿宋" w:eastAsia="仿宋"/>
          <w:color w:val="000000"/>
          <w:sz w:val="32"/>
          <w:szCs w:val="32"/>
        </w:rPr>
        <w:t>、伙食补助费</w:t>
      </w:r>
      <w:r>
        <w:rPr>
          <w:rFonts w:hint="eastAsia" w:ascii="仿宋" w:hAnsi="仿宋" w:eastAsia="仿宋"/>
          <w:color w:val="000000"/>
          <w:sz w:val="32"/>
          <w:szCs w:val="32"/>
          <w:lang w:val="en-US" w:eastAsia="zh-CN"/>
        </w:rPr>
        <w:t>6.94万元</w:t>
      </w:r>
      <w:r>
        <w:rPr>
          <w:rFonts w:hint="eastAsia" w:ascii="仿宋" w:hAnsi="仿宋" w:eastAsia="仿宋"/>
          <w:color w:val="000000"/>
          <w:sz w:val="32"/>
          <w:szCs w:val="32"/>
        </w:rPr>
        <w:t>、机关事业单位基本养老保险缴费</w:t>
      </w:r>
      <w:r>
        <w:rPr>
          <w:rFonts w:hint="eastAsia" w:ascii="仿宋" w:hAnsi="仿宋" w:eastAsia="仿宋"/>
          <w:color w:val="000000"/>
          <w:sz w:val="32"/>
          <w:szCs w:val="32"/>
          <w:lang w:val="en-US" w:eastAsia="zh-CN"/>
        </w:rPr>
        <w:t>27.63万元</w:t>
      </w:r>
      <w:r>
        <w:rPr>
          <w:rFonts w:hint="eastAsia" w:ascii="仿宋" w:hAnsi="仿宋" w:eastAsia="仿宋"/>
          <w:color w:val="000000"/>
          <w:sz w:val="32"/>
          <w:szCs w:val="32"/>
        </w:rPr>
        <w:t>、职业年金缴费</w:t>
      </w:r>
      <w:r>
        <w:rPr>
          <w:rFonts w:hint="eastAsia" w:ascii="仿宋" w:hAnsi="仿宋" w:eastAsia="仿宋"/>
          <w:color w:val="000000"/>
          <w:sz w:val="32"/>
          <w:szCs w:val="32"/>
          <w:lang w:val="en-US" w:eastAsia="zh-CN"/>
        </w:rPr>
        <w:t>16.95万元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职工基本医疗保险缴费</w:t>
      </w:r>
      <w:r>
        <w:rPr>
          <w:rFonts w:hint="eastAsia" w:ascii="仿宋" w:hAnsi="仿宋" w:eastAsia="仿宋"/>
          <w:color w:val="000000"/>
          <w:sz w:val="32"/>
          <w:szCs w:val="32"/>
          <w:lang w:val="en-US" w:eastAsia="zh-CN"/>
        </w:rPr>
        <w:t>14.63万元、公务员医疗补助缴费6.17万元、</w:t>
      </w:r>
      <w:r>
        <w:rPr>
          <w:rFonts w:hint="eastAsia" w:ascii="仿宋" w:hAnsi="仿宋" w:eastAsia="仿宋"/>
          <w:color w:val="000000"/>
          <w:sz w:val="32"/>
          <w:szCs w:val="32"/>
        </w:rPr>
        <w:t>其他社会保障缴费</w:t>
      </w:r>
      <w:r>
        <w:rPr>
          <w:rFonts w:hint="eastAsia" w:ascii="仿宋" w:hAnsi="仿宋" w:eastAsia="仿宋"/>
          <w:color w:val="000000"/>
          <w:sz w:val="32"/>
          <w:szCs w:val="32"/>
          <w:lang w:val="en-US" w:eastAsia="zh-CN"/>
        </w:rPr>
        <w:t>3.11万元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医疗费</w:t>
      </w:r>
      <w:r>
        <w:rPr>
          <w:rFonts w:hint="eastAsia" w:ascii="仿宋" w:hAnsi="仿宋" w:eastAsia="仿宋"/>
          <w:color w:val="000000"/>
          <w:sz w:val="32"/>
          <w:szCs w:val="32"/>
          <w:lang w:val="en-US" w:eastAsia="zh-CN"/>
        </w:rPr>
        <w:t>3.16万元、</w:t>
      </w:r>
      <w:r>
        <w:rPr>
          <w:rFonts w:hint="eastAsia" w:ascii="仿宋" w:hAnsi="仿宋" w:eastAsia="仿宋"/>
          <w:color w:val="000000"/>
          <w:sz w:val="32"/>
          <w:szCs w:val="32"/>
        </w:rPr>
        <w:t>其他工资福利支出</w:t>
      </w:r>
      <w:r>
        <w:rPr>
          <w:rFonts w:hint="eastAsia" w:ascii="仿宋" w:hAnsi="仿宋" w:eastAsia="仿宋"/>
          <w:color w:val="000000"/>
          <w:sz w:val="32"/>
          <w:szCs w:val="32"/>
          <w:lang w:val="en-US" w:eastAsia="zh-CN"/>
        </w:rPr>
        <w:t>7.59万元</w:t>
      </w:r>
      <w:r>
        <w:rPr>
          <w:rFonts w:hint="eastAsia" w:ascii="仿宋" w:hAnsi="仿宋" w:eastAsia="仿宋"/>
          <w:color w:val="000000"/>
          <w:sz w:val="32"/>
          <w:szCs w:val="32"/>
        </w:rPr>
        <w:t>、离休费</w:t>
      </w:r>
      <w:r>
        <w:rPr>
          <w:rFonts w:hint="eastAsia" w:ascii="仿宋" w:hAnsi="仿宋" w:eastAsia="仿宋"/>
          <w:color w:val="000000"/>
          <w:sz w:val="32"/>
          <w:szCs w:val="32"/>
          <w:lang w:val="en-US" w:eastAsia="zh-CN"/>
        </w:rPr>
        <w:t>21.39万元</w:t>
      </w:r>
      <w:r>
        <w:rPr>
          <w:rFonts w:hint="eastAsia" w:ascii="仿宋" w:hAnsi="仿宋" w:eastAsia="仿宋"/>
          <w:color w:val="000000"/>
          <w:sz w:val="32"/>
          <w:szCs w:val="32"/>
        </w:rPr>
        <w:t>、生活补助</w:t>
      </w:r>
      <w:r>
        <w:rPr>
          <w:rFonts w:hint="eastAsia" w:ascii="仿宋" w:hAnsi="仿宋" w:eastAsia="仿宋"/>
          <w:color w:val="000000"/>
          <w:sz w:val="32"/>
          <w:szCs w:val="32"/>
          <w:lang w:val="en-US" w:eastAsia="zh-CN"/>
        </w:rPr>
        <w:t>42.9万元</w:t>
      </w:r>
      <w:r>
        <w:rPr>
          <w:rFonts w:hint="eastAsia" w:ascii="仿宋" w:hAnsi="仿宋" w:eastAsia="仿宋"/>
          <w:color w:val="000000"/>
          <w:sz w:val="32"/>
          <w:szCs w:val="32"/>
        </w:rPr>
        <w:t>、住房公积金</w:t>
      </w:r>
      <w:r>
        <w:rPr>
          <w:rFonts w:hint="eastAsia" w:ascii="仿宋" w:hAnsi="仿宋" w:eastAsia="仿宋"/>
          <w:color w:val="000000"/>
          <w:sz w:val="32"/>
          <w:szCs w:val="32"/>
          <w:lang w:val="en-US" w:eastAsia="zh-CN"/>
        </w:rPr>
        <w:t>25.13万元</w:t>
      </w:r>
      <w:r>
        <w:rPr>
          <w:rFonts w:hint="eastAsia" w:ascii="仿宋" w:hAnsi="仿宋" w:eastAsia="仿宋"/>
          <w:color w:val="000000"/>
          <w:sz w:val="32"/>
          <w:szCs w:val="32"/>
        </w:rPr>
        <w:t>等。　　</w:t>
      </w:r>
      <w:r>
        <w:rPr>
          <w:rFonts w:hint="eastAsia" w:ascii="仿宋" w:hAnsi="仿宋" w:eastAsia="仿宋"/>
          <w:color w:val="000000"/>
          <w:sz w:val="32"/>
          <w:szCs w:val="32"/>
          <w:lang w:val="en-US" w:eastAsia="zh-CN"/>
        </w:rPr>
        <w:t xml:space="preserve">           </w:t>
      </w:r>
    </w:p>
    <w:p>
      <w:pPr>
        <w:spacing w:line="600" w:lineRule="exact"/>
        <w:ind w:firstLine="645"/>
        <w:rPr>
          <w:rFonts w:hint="eastAsia" w:ascii="黑体" w:eastAsia="黑体"/>
          <w:color w:val="000000"/>
          <w:sz w:val="32"/>
          <w:szCs w:val="32"/>
        </w:rPr>
      </w:pPr>
      <w:r>
        <w:rPr>
          <w:rFonts w:hint="eastAsia" w:ascii="仿宋" w:hAnsi="仿宋" w:eastAsia="仿宋"/>
          <w:color w:val="000000"/>
          <w:sz w:val="32"/>
          <w:szCs w:val="32"/>
        </w:rPr>
        <w:t>日常公用经费75.25万元，主要包括：办公费</w:t>
      </w:r>
      <w:r>
        <w:rPr>
          <w:rFonts w:hint="eastAsia" w:ascii="仿宋" w:hAnsi="仿宋" w:eastAsia="仿宋"/>
          <w:color w:val="000000"/>
          <w:sz w:val="32"/>
          <w:szCs w:val="32"/>
          <w:lang w:val="en-US" w:eastAsia="zh-CN"/>
        </w:rPr>
        <w:t>2.73万元</w:t>
      </w:r>
      <w:r>
        <w:rPr>
          <w:rFonts w:hint="eastAsia" w:ascii="仿宋" w:hAnsi="仿宋" w:eastAsia="仿宋"/>
          <w:color w:val="000000"/>
          <w:sz w:val="32"/>
          <w:szCs w:val="32"/>
        </w:rPr>
        <w:t>、印刷费</w:t>
      </w:r>
      <w:r>
        <w:rPr>
          <w:rFonts w:hint="eastAsia" w:ascii="仿宋" w:hAnsi="仿宋" w:eastAsia="仿宋"/>
          <w:color w:val="000000"/>
          <w:sz w:val="32"/>
          <w:szCs w:val="32"/>
          <w:lang w:val="en-US" w:eastAsia="zh-CN"/>
        </w:rPr>
        <w:t>0.86万元</w:t>
      </w:r>
      <w:r>
        <w:rPr>
          <w:rFonts w:hint="eastAsia" w:ascii="仿宋" w:hAnsi="仿宋" w:eastAsia="仿宋"/>
          <w:color w:val="000000"/>
          <w:sz w:val="32"/>
          <w:szCs w:val="32"/>
        </w:rPr>
        <w:t>、水费</w:t>
      </w:r>
      <w:r>
        <w:rPr>
          <w:rFonts w:hint="eastAsia" w:ascii="仿宋" w:hAnsi="仿宋" w:eastAsia="仿宋"/>
          <w:color w:val="000000"/>
          <w:sz w:val="32"/>
          <w:szCs w:val="32"/>
          <w:lang w:val="en-US" w:eastAsia="zh-CN"/>
        </w:rPr>
        <w:t>0.39万元</w:t>
      </w:r>
      <w:r>
        <w:rPr>
          <w:rFonts w:hint="eastAsia" w:ascii="仿宋" w:hAnsi="仿宋" w:eastAsia="仿宋"/>
          <w:color w:val="000000"/>
          <w:sz w:val="32"/>
          <w:szCs w:val="32"/>
        </w:rPr>
        <w:t>、电费</w:t>
      </w:r>
      <w:r>
        <w:rPr>
          <w:rFonts w:hint="eastAsia" w:ascii="仿宋" w:hAnsi="仿宋" w:eastAsia="仿宋"/>
          <w:color w:val="000000"/>
          <w:sz w:val="32"/>
          <w:szCs w:val="32"/>
          <w:lang w:val="en-US" w:eastAsia="zh-CN"/>
        </w:rPr>
        <w:t>1.38万元</w:t>
      </w:r>
      <w:r>
        <w:rPr>
          <w:rFonts w:hint="eastAsia" w:ascii="仿宋" w:hAnsi="仿宋" w:eastAsia="仿宋"/>
          <w:color w:val="000000"/>
          <w:sz w:val="32"/>
          <w:szCs w:val="32"/>
        </w:rPr>
        <w:t>、邮电费</w:t>
      </w:r>
      <w:r>
        <w:rPr>
          <w:rFonts w:hint="eastAsia" w:ascii="仿宋" w:hAnsi="仿宋" w:eastAsia="仿宋"/>
          <w:color w:val="000000"/>
          <w:sz w:val="32"/>
          <w:szCs w:val="32"/>
          <w:lang w:val="en-US" w:eastAsia="zh-CN"/>
        </w:rPr>
        <w:t>4.94万元</w:t>
      </w:r>
      <w:r>
        <w:rPr>
          <w:rFonts w:hint="eastAsia" w:ascii="仿宋" w:hAnsi="仿宋" w:eastAsia="仿宋"/>
          <w:color w:val="000000"/>
          <w:sz w:val="32"/>
          <w:szCs w:val="32"/>
        </w:rPr>
        <w:t>、物业管理费</w:t>
      </w:r>
      <w:r>
        <w:rPr>
          <w:rFonts w:hint="eastAsia" w:ascii="仿宋" w:hAnsi="仿宋" w:eastAsia="仿宋"/>
          <w:color w:val="000000"/>
          <w:sz w:val="32"/>
          <w:szCs w:val="32"/>
          <w:lang w:val="en-US" w:eastAsia="zh-CN"/>
        </w:rPr>
        <w:t>1.09万元</w:t>
      </w:r>
      <w:r>
        <w:rPr>
          <w:rFonts w:hint="eastAsia" w:ascii="仿宋" w:hAnsi="仿宋" w:eastAsia="仿宋"/>
          <w:color w:val="000000"/>
          <w:sz w:val="32"/>
          <w:szCs w:val="32"/>
        </w:rPr>
        <w:t>、差旅费</w:t>
      </w:r>
      <w:r>
        <w:rPr>
          <w:rFonts w:hint="eastAsia" w:ascii="仿宋" w:hAnsi="仿宋" w:eastAsia="仿宋"/>
          <w:color w:val="000000"/>
          <w:sz w:val="32"/>
          <w:szCs w:val="32"/>
          <w:lang w:val="en-US" w:eastAsia="zh-CN"/>
        </w:rPr>
        <w:t>30.12万元</w:t>
      </w:r>
      <w:r>
        <w:rPr>
          <w:rFonts w:hint="eastAsia" w:ascii="仿宋" w:hAnsi="仿宋" w:eastAsia="仿宋"/>
          <w:color w:val="000000"/>
          <w:sz w:val="32"/>
          <w:szCs w:val="32"/>
        </w:rPr>
        <w:t>、维修（护）费</w:t>
      </w:r>
      <w:r>
        <w:rPr>
          <w:rFonts w:hint="eastAsia" w:ascii="仿宋" w:hAnsi="仿宋" w:eastAsia="仿宋"/>
          <w:color w:val="000000"/>
          <w:sz w:val="32"/>
          <w:szCs w:val="32"/>
          <w:lang w:val="en-US" w:eastAsia="zh-CN"/>
        </w:rPr>
        <w:t>1.73万元</w:t>
      </w:r>
      <w:r>
        <w:rPr>
          <w:rFonts w:hint="eastAsia" w:ascii="仿宋" w:hAnsi="仿宋" w:eastAsia="仿宋"/>
          <w:color w:val="000000"/>
          <w:sz w:val="32"/>
          <w:szCs w:val="32"/>
        </w:rPr>
        <w:t>、培训费</w:t>
      </w:r>
      <w:r>
        <w:rPr>
          <w:rFonts w:hint="eastAsia" w:ascii="仿宋" w:hAnsi="仿宋" w:eastAsia="仿宋"/>
          <w:color w:val="000000"/>
          <w:sz w:val="32"/>
          <w:szCs w:val="32"/>
          <w:lang w:val="en-US" w:eastAsia="zh-CN"/>
        </w:rPr>
        <w:t>2.90万元</w:t>
      </w:r>
      <w:r>
        <w:rPr>
          <w:rFonts w:hint="eastAsia" w:ascii="仿宋" w:hAnsi="仿宋" w:eastAsia="仿宋"/>
          <w:color w:val="000000"/>
          <w:sz w:val="32"/>
          <w:szCs w:val="32"/>
        </w:rPr>
        <w:t>、公务接待费</w:t>
      </w:r>
      <w:r>
        <w:rPr>
          <w:rFonts w:hint="eastAsia" w:ascii="仿宋" w:hAnsi="仿宋" w:eastAsia="仿宋"/>
          <w:color w:val="000000"/>
          <w:sz w:val="32"/>
          <w:szCs w:val="32"/>
          <w:lang w:val="en-US" w:eastAsia="zh-CN"/>
        </w:rPr>
        <w:t>1.09万元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劳务费</w:t>
      </w:r>
      <w:r>
        <w:rPr>
          <w:rFonts w:hint="eastAsia" w:ascii="仿宋" w:hAnsi="仿宋" w:eastAsia="仿宋"/>
          <w:color w:val="000000"/>
          <w:sz w:val="32"/>
          <w:szCs w:val="32"/>
          <w:lang w:val="en-US" w:eastAsia="zh-CN"/>
        </w:rPr>
        <w:t>3.26万元</w:t>
      </w:r>
      <w:r>
        <w:rPr>
          <w:rFonts w:hint="eastAsia" w:ascii="仿宋" w:hAnsi="仿宋" w:eastAsia="仿宋"/>
          <w:color w:val="000000"/>
          <w:sz w:val="32"/>
          <w:szCs w:val="32"/>
        </w:rPr>
        <w:t>、公务用车运行维护费</w:t>
      </w:r>
      <w:r>
        <w:rPr>
          <w:rFonts w:hint="eastAsia" w:ascii="仿宋" w:hAnsi="仿宋" w:eastAsia="仿宋"/>
          <w:color w:val="000000"/>
          <w:sz w:val="32"/>
          <w:szCs w:val="32"/>
          <w:lang w:val="en-US" w:eastAsia="zh-CN"/>
        </w:rPr>
        <w:t>22.48万元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办公设备购置</w:t>
      </w:r>
      <w:r>
        <w:rPr>
          <w:rFonts w:hint="eastAsia" w:ascii="仿宋" w:hAnsi="仿宋" w:eastAsia="仿宋"/>
          <w:color w:val="000000"/>
          <w:sz w:val="32"/>
          <w:szCs w:val="32"/>
          <w:lang w:val="en-US" w:eastAsia="zh-CN"/>
        </w:rPr>
        <w:t>2.28万元</w:t>
      </w:r>
      <w:r>
        <w:rPr>
          <w:rFonts w:hint="eastAsia" w:ascii="仿宋" w:hAnsi="仿宋" w:eastAsia="仿宋"/>
          <w:color w:val="000000"/>
          <w:sz w:val="32"/>
          <w:szCs w:val="32"/>
        </w:rPr>
        <w:t>等。</w:t>
      </w:r>
      <w:bookmarkStart w:id="57" w:name="_Toc13718"/>
      <w:bookmarkStart w:id="58" w:name="_Toc15377215"/>
      <w:bookmarkStart w:id="59" w:name="_Toc15396609"/>
    </w:p>
    <w:p>
      <w:pPr>
        <w:spacing w:line="600" w:lineRule="exact"/>
        <w:ind w:firstLine="640"/>
        <w:outlineLvl w:val="1"/>
        <w:rPr>
          <w:rStyle w:val="30"/>
          <w:rFonts w:ascii="黑体" w:hAnsi="黑体" w:eastAsia="黑体"/>
          <w:b w:val="0"/>
        </w:rPr>
      </w:pPr>
      <w:r>
        <w:rPr>
          <w:rFonts w:hint="eastAsia" w:ascii="黑体" w:eastAsia="黑体"/>
          <w:color w:val="000000"/>
          <w:sz w:val="32"/>
          <w:szCs w:val="32"/>
        </w:rPr>
        <w:t>七、</w:t>
      </w:r>
      <w:r>
        <w:rPr>
          <w:rStyle w:val="30"/>
          <w:rFonts w:hint="eastAsia" w:ascii="黑体" w:hAnsi="黑体" w:eastAsia="黑体"/>
        </w:rPr>
        <w:t>“</w:t>
      </w:r>
      <w:r>
        <w:rPr>
          <w:rStyle w:val="30"/>
          <w:rFonts w:hint="eastAsia" w:ascii="黑体" w:hAnsi="黑体" w:eastAsia="黑体"/>
          <w:b w:val="0"/>
        </w:rPr>
        <w:t>三公”经费财政拨款支出决算情况说明</w:t>
      </w:r>
      <w:bookmarkEnd w:id="57"/>
      <w:bookmarkEnd w:id="58"/>
      <w:bookmarkEnd w:id="59"/>
    </w:p>
    <w:p>
      <w:pPr>
        <w:spacing w:line="600" w:lineRule="exact"/>
        <w:ind w:firstLine="640"/>
        <w:outlineLvl w:val="2"/>
        <w:rPr>
          <w:rFonts w:ascii="仿宋" w:hAnsi="仿宋" w:eastAsia="仿宋"/>
          <w:b/>
          <w:color w:val="000000"/>
          <w:sz w:val="32"/>
          <w:szCs w:val="32"/>
        </w:rPr>
      </w:pPr>
      <w:bookmarkStart w:id="60" w:name="_Toc15377216"/>
      <w:r>
        <w:rPr>
          <w:rFonts w:hint="eastAsia" w:ascii="仿宋" w:hAnsi="仿宋" w:eastAsia="仿宋"/>
          <w:b/>
          <w:color w:val="000000"/>
          <w:sz w:val="32"/>
          <w:szCs w:val="32"/>
        </w:rPr>
        <w:t>（一）“三公”经费财政拨款支出决算总体情况说明</w:t>
      </w:r>
      <w:bookmarkEnd w:id="60"/>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9年“三公”经费财政拨款支出决算为23.57万元，完成预算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outlineLvl w:val="2"/>
        <w:rPr>
          <w:rFonts w:ascii="仿宋" w:hAnsi="仿宋" w:eastAsia="仿宋"/>
          <w:b/>
          <w:color w:val="000000"/>
          <w:sz w:val="32"/>
          <w:szCs w:val="32"/>
        </w:rPr>
      </w:pPr>
      <w:bookmarkStart w:id="61" w:name="_Toc15377217"/>
      <w:r>
        <w:rPr>
          <w:rFonts w:hint="eastAsia" w:ascii="仿宋" w:hAnsi="仿宋" w:eastAsia="仿宋"/>
          <w:b/>
          <w:color w:val="000000"/>
          <w:sz w:val="32"/>
          <w:szCs w:val="32"/>
        </w:rPr>
        <w:t>（二）“三公”经费财政拨款支出决算具体情况说明</w:t>
      </w:r>
      <w:bookmarkEnd w:id="61"/>
    </w:p>
    <w:p>
      <w:pPr>
        <w:spacing w:line="600" w:lineRule="exact"/>
        <w:ind w:firstLine="640"/>
        <w:rPr>
          <w:rFonts w:hint="eastAsia" w:ascii="仿宋" w:hAnsi="仿宋" w:eastAsia="仿宋"/>
          <w:color w:val="000000"/>
          <w:sz w:val="32"/>
          <w:szCs w:val="32"/>
          <w:lang w:val="en-US" w:eastAsia="zh-CN"/>
        </w:rPr>
      </w:pPr>
      <w:r>
        <w:rPr>
          <w:rFonts w:hint="eastAsia"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191770</wp:posOffset>
            </wp:positionH>
            <wp:positionV relativeFrom="paragraph">
              <wp:posOffset>1765935</wp:posOffset>
            </wp:positionV>
            <wp:extent cx="4927600" cy="2744470"/>
            <wp:effectExtent l="4445" t="4445" r="20955" b="13335"/>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22.48万元，占95%；公务接待费支出决算1.09万元，占5%。具体情况如下：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：“三公”经费财政拨款支出结构）</w:t>
      </w:r>
    </w:p>
    <w:p>
      <w:pPr>
        <w:spacing w:line="600" w:lineRule="exact"/>
        <w:ind w:firstLine="640"/>
        <w:rPr>
          <w:rFonts w:hint="eastAsia" w:ascii="仿宋_GB2312" w:eastAsia="仿宋_GB2312"/>
          <w:color w:val="000000"/>
          <w:sz w:val="32"/>
          <w:szCs w:val="32"/>
          <w:lang w:val="en-US" w:eastAsia="zh-CN"/>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left"/>
        <w:textAlignment w:val="auto"/>
        <w:outlineLvl w:val="9"/>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 w:hAnsi="仿宋" w:eastAsia="仿宋"/>
          <w:color w:val="000000"/>
          <w:sz w:val="32"/>
          <w:szCs w:val="32"/>
          <w:lang w:val="en-US" w:eastAsia="zh-CN"/>
        </w:rPr>
        <w:t>22.48</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公务用车购置及运行维护费支出决算比2018年增加10.39万元，增长86.00%。主要</w:t>
      </w:r>
      <w:r>
        <w:rPr>
          <w:rFonts w:hint="eastAsia" w:ascii="仿宋" w:hAnsi="仿宋" w:eastAsia="仿宋" w:cs="仿宋"/>
          <w:sz w:val="32"/>
          <w:szCs w:val="32"/>
          <w:lang w:val="en-US" w:eastAsia="zh-CN"/>
        </w:rPr>
        <w:t>原因是车辆大修修理费50,185元，以及“两联一进”、“脱贫攻坚”、“东西部协作”等工作开展，车辆行驶公里数今年超过6万公里，较上年增加1.4万公里，导致公务用车运行维护费增加。</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辆，其中：其他用车2辆。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22.48万元。主要用于</w:t>
      </w:r>
      <w:r>
        <w:rPr>
          <w:rFonts w:hint="eastAsia" w:ascii="仿宋_GB2312" w:eastAsia="仿宋_GB2312"/>
          <w:color w:val="000000"/>
          <w:sz w:val="32"/>
          <w:szCs w:val="32"/>
          <w:lang w:eastAsia="zh-CN"/>
        </w:rPr>
        <w:t>开展日常工作、到各县调研、脱贫攻坚</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1.09万元，完成预算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%。公务接待费支出决算比2018年增加0.15万元，增长16.20%。主要原因是</w:t>
      </w:r>
      <w:r>
        <w:rPr>
          <w:rFonts w:hint="eastAsia" w:ascii="仿宋" w:hAnsi="仿宋" w:eastAsia="仿宋" w:cs="仿宋"/>
          <w:color w:val="000000"/>
          <w:kern w:val="0"/>
          <w:sz w:val="30"/>
          <w:szCs w:val="30"/>
          <w:lang w:eastAsia="zh-CN" w:bidi="ar"/>
        </w:rPr>
        <w:t>公务接待批次、人次较上年都有所增加。</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_GB2312" w:eastAsia="仿宋_GB2312"/>
          <w:color w:val="000000"/>
          <w:sz w:val="32"/>
          <w:szCs w:val="32"/>
        </w:rPr>
        <w:t>1.09万元，主要用于执行公务、开展业务活动开支的交通费、住宿费、用餐费等。国内公务接待</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75</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1.09</w:t>
      </w:r>
      <w:r>
        <w:rPr>
          <w:rFonts w:hint="eastAsia" w:ascii="仿宋_GB2312" w:eastAsia="仿宋_GB2312"/>
          <w:color w:val="000000"/>
          <w:sz w:val="32"/>
          <w:szCs w:val="32"/>
        </w:rPr>
        <w:t>万元，具体内容包括：若尔盖县供销社</w:t>
      </w:r>
      <w:r>
        <w:rPr>
          <w:rFonts w:hint="eastAsia" w:ascii="仿宋_GB2312" w:eastAsia="仿宋_GB2312"/>
          <w:color w:val="000000"/>
          <w:sz w:val="32"/>
          <w:szCs w:val="32"/>
          <w:lang w:eastAsia="zh-CN"/>
        </w:rPr>
        <w:t>前来汇报工作支出接待费</w:t>
      </w:r>
      <w:r>
        <w:rPr>
          <w:rFonts w:hint="eastAsia" w:ascii="仿宋_GB2312" w:eastAsia="仿宋_GB2312"/>
          <w:color w:val="000000"/>
          <w:sz w:val="32"/>
          <w:szCs w:val="32"/>
          <w:lang w:val="en-US" w:eastAsia="zh-CN"/>
        </w:rPr>
        <w:t>0.05万元；郫都区供销社前来交流工作</w:t>
      </w:r>
      <w:r>
        <w:rPr>
          <w:rFonts w:hint="eastAsia" w:ascii="仿宋_GB2312" w:eastAsia="仿宋_GB2312"/>
          <w:color w:val="000000"/>
          <w:sz w:val="32"/>
          <w:szCs w:val="32"/>
          <w:lang w:eastAsia="zh-CN"/>
        </w:rPr>
        <w:t>支出接待费</w:t>
      </w:r>
      <w:r>
        <w:rPr>
          <w:rFonts w:hint="eastAsia" w:ascii="仿宋_GB2312" w:eastAsia="仿宋_GB2312"/>
          <w:color w:val="000000"/>
          <w:sz w:val="32"/>
          <w:szCs w:val="32"/>
          <w:lang w:val="en-US" w:eastAsia="zh-CN"/>
        </w:rPr>
        <w:t>0.13万元；四川省云背篓公司前来对接工作</w:t>
      </w:r>
      <w:r>
        <w:rPr>
          <w:rFonts w:hint="eastAsia" w:ascii="仿宋_GB2312" w:eastAsia="仿宋_GB2312"/>
          <w:color w:val="000000"/>
          <w:sz w:val="32"/>
          <w:szCs w:val="32"/>
          <w:lang w:eastAsia="zh-CN"/>
        </w:rPr>
        <w:t>支出接待费</w:t>
      </w:r>
      <w:r>
        <w:rPr>
          <w:rFonts w:hint="eastAsia" w:ascii="仿宋_GB2312" w:eastAsia="仿宋_GB2312"/>
          <w:color w:val="000000"/>
          <w:sz w:val="32"/>
          <w:szCs w:val="32"/>
          <w:lang w:val="en-US" w:eastAsia="zh-CN"/>
        </w:rPr>
        <w:t>0.06万元；绍兴市供销社前来考察</w:t>
      </w:r>
      <w:r>
        <w:rPr>
          <w:rFonts w:hint="eastAsia" w:ascii="仿宋_GB2312" w:eastAsia="仿宋_GB2312"/>
          <w:color w:val="000000"/>
          <w:sz w:val="32"/>
          <w:szCs w:val="32"/>
          <w:lang w:eastAsia="zh-CN"/>
        </w:rPr>
        <w:t>支出接待费</w:t>
      </w:r>
      <w:r>
        <w:rPr>
          <w:rFonts w:hint="eastAsia" w:ascii="仿宋_GB2312" w:eastAsia="仿宋_GB2312"/>
          <w:color w:val="000000"/>
          <w:sz w:val="32"/>
          <w:szCs w:val="32"/>
          <w:lang w:val="en-US" w:eastAsia="zh-CN"/>
        </w:rPr>
        <w:t>0.13万元；阿坝州云背篓公司前来商议工作</w:t>
      </w:r>
      <w:r>
        <w:rPr>
          <w:rFonts w:hint="eastAsia" w:ascii="仿宋_GB2312" w:eastAsia="仿宋_GB2312"/>
          <w:color w:val="000000"/>
          <w:sz w:val="32"/>
          <w:szCs w:val="32"/>
          <w:lang w:eastAsia="zh-CN"/>
        </w:rPr>
        <w:t>支出接待费</w:t>
      </w:r>
      <w:r>
        <w:rPr>
          <w:rFonts w:hint="eastAsia" w:ascii="仿宋_GB2312" w:eastAsia="仿宋_GB2312"/>
          <w:color w:val="000000"/>
          <w:sz w:val="32"/>
          <w:szCs w:val="32"/>
          <w:lang w:val="en-US" w:eastAsia="zh-CN"/>
        </w:rPr>
        <w:t>0.04万元；九寨沟供销社汇报工作</w:t>
      </w:r>
      <w:r>
        <w:rPr>
          <w:rFonts w:hint="eastAsia" w:ascii="仿宋_GB2312" w:eastAsia="仿宋_GB2312"/>
          <w:color w:val="000000"/>
          <w:sz w:val="32"/>
          <w:szCs w:val="32"/>
          <w:lang w:eastAsia="zh-CN"/>
        </w:rPr>
        <w:t>支出接待费</w:t>
      </w:r>
      <w:r>
        <w:rPr>
          <w:rFonts w:hint="eastAsia" w:ascii="仿宋_GB2312" w:eastAsia="仿宋_GB2312"/>
          <w:color w:val="000000"/>
          <w:sz w:val="32"/>
          <w:szCs w:val="32"/>
          <w:lang w:val="en-US" w:eastAsia="zh-CN"/>
        </w:rPr>
        <w:t>0.10万元；四川省供销社、四川供销投资集团及四川省云背篓公司前来调研</w:t>
      </w:r>
      <w:r>
        <w:rPr>
          <w:rFonts w:hint="eastAsia" w:ascii="仿宋_GB2312" w:eastAsia="仿宋_GB2312"/>
          <w:color w:val="000000"/>
          <w:sz w:val="32"/>
          <w:szCs w:val="32"/>
          <w:lang w:eastAsia="zh-CN"/>
        </w:rPr>
        <w:t>支出接待费</w:t>
      </w:r>
      <w:r>
        <w:rPr>
          <w:rFonts w:hint="eastAsia" w:ascii="仿宋_GB2312" w:eastAsia="仿宋_GB2312"/>
          <w:color w:val="000000"/>
          <w:sz w:val="32"/>
          <w:szCs w:val="32"/>
          <w:lang w:val="en-US" w:eastAsia="zh-CN"/>
        </w:rPr>
        <w:t>0.08万元；红原县供销社、红原更攀合作总社前来对接工作</w:t>
      </w:r>
      <w:r>
        <w:rPr>
          <w:rFonts w:hint="eastAsia" w:ascii="仿宋_GB2312" w:eastAsia="仿宋_GB2312"/>
          <w:color w:val="000000"/>
          <w:sz w:val="32"/>
          <w:szCs w:val="32"/>
          <w:lang w:eastAsia="zh-CN"/>
        </w:rPr>
        <w:t>支出接待费</w:t>
      </w:r>
      <w:r>
        <w:rPr>
          <w:rFonts w:hint="eastAsia" w:ascii="仿宋_GB2312" w:eastAsia="仿宋_GB2312"/>
          <w:color w:val="000000"/>
          <w:sz w:val="32"/>
          <w:szCs w:val="32"/>
          <w:lang w:val="en-US" w:eastAsia="zh-CN"/>
        </w:rPr>
        <w:t>0.08万元；绍兴市供销社前来考察</w:t>
      </w:r>
      <w:r>
        <w:rPr>
          <w:rFonts w:hint="eastAsia" w:ascii="仿宋_GB2312" w:eastAsia="仿宋_GB2312"/>
          <w:color w:val="000000"/>
          <w:sz w:val="32"/>
          <w:szCs w:val="32"/>
          <w:lang w:eastAsia="zh-CN"/>
        </w:rPr>
        <w:t>支出接待费</w:t>
      </w:r>
      <w:r>
        <w:rPr>
          <w:rFonts w:hint="eastAsia" w:ascii="仿宋_GB2312" w:eastAsia="仿宋_GB2312"/>
          <w:color w:val="000000"/>
          <w:sz w:val="32"/>
          <w:szCs w:val="32"/>
          <w:lang w:val="en-US" w:eastAsia="zh-CN"/>
        </w:rPr>
        <w:t>0.11万元；四川省供销社前来调研</w:t>
      </w:r>
      <w:r>
        <w:rPr>
          <w:rFonts w:hint="eastAsia" w:ascii="仿宋_GB2312" w:eastAsia="仿宋_GB2312"/>
          <w:color w:val="000000"/>
          <w:sz w:val="32"/>
          <w:szCs w:val="32"/>
          <w:lang w:eastAsia="zh-CN"/>
        </w:rPr>
        <w:t>支出接待费</w:t>
      </w:r>
      <w:r>
        <w:rPr>
          <w:rFonts w:hint="eastAsia" w:ascii="仿宋_GB2312" w:eastAsia="仿宋_GB2312"/>
          <w:color w:val="000000"/>
          <w:sz w:val="32"/>
          <w:szCs w:val="32"/>
          <w:lang w:val="en-US" w:eastAsia="zh-CN"/>
        </w:rPr>
        <w:t>0.18万元；温州市供销社前来考察</w:t>
      </w:r>
      <w:r>
        <w:rPr>
          <w:rFonts w:hint="eastAsia" w:ascii="仿宋_GB2312" w:eastAsia="仿宋_GB2312"/>
          <w:color w:val="000000"/>
          <w:sz w:val="32"/>
          <w:szCs w:val="32"/>
          <w:lang w:eastAsia="zh-CN"/>
        </w:rPr>
        <w:t>支出接待费</w:t>
      </w:r>
      <w:r>
        <w:rPr>
          <w:rFonts w:hint="eastAsia" w:ascii="仿宋_GB2312" w:eastAsia="仿宋_GB2312"/>
          <w:color w:val="000000"/>
          <w:sz w:val="32"/>
          <w:szCs w:val="32"/>
          <w:lang w:val="en-US" w:eastAsia="zh-CN"/>
        </w:rPr>
        <w:t>0.13万元。</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outlineLvl w:val="1"/>
        <w:rPr>
          <w:rFonts w:ascii="黑体" w:eastAsia="黑体"/>
          <w:color w:val="000000"/>
          <w:sz w:val="32"/>
          <w:szCs w:val="32"/>
        </w:rPr>
      </w:pPr>
      <w:bookmarkStart w:id="62" w:name="_Toc15396610"/>
      <w:bookmarkStart w:id="63" w:name="_Toc15377218"/>
    </w:p>
    <w:p>
      <w:pPr>
        <w:spacing w:line="600" w:lineRule="exact"/>
        <w:ind w:firstLine="640"/>
        <w:outlineLvl w:val="1"/>
        <w:rPr>
          <w:rStyle w:val="30"/>
          <w:rFonts w:ascii="黑体" w:hAnsi="黑体" w:eastAsia="黑体"/>
        </w:rPr>
      </w:pPr>
      <w:bookmarkStart w:id="64" w:name="_Toc1375"/>
      <w:r>
        <w:rPr>
          <w:rFonts w:hint="eastAsia" w:ascii="黑体" w:eastAsia="黑体"/>
          <w:color w:val="000000"/>
          <w:sz w:val="32"/>
          <w:szCs w:val="32"/>
        </w:rPr>
        <w:t>八、</w:t>
      </w:r>
      <w:r>
        <w:rPr>
          <w:rStyle w:val="30"/>
          <w:rFonts w:hint="eastAsia" w:ascii="黑体" w:hAnsi="黑体" w:eastAsia="黑体"/>
          <w:b w:val="0"/>
        </w:rPr>
        <w:t>政府性基金预算支出决算情况说明</w:t>
      </w:r>
      <w:bookmarkEnd w:id="62"/>
      <w:bookmarkEnd w:id="63"/>
      <w:bookmarkEnd w:id="64"/>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30"/>
          <w:rFonts w:ascii="黑体" w:hAnsi="黑体" w:eastAsia="黑体"/>
          <w:b w:val="0"/>
        </w:rPr>
      </w:pPr>
      <w:bookmarkStart w:id="65" w:name="_Toc15396611"/>
      <w:bookmarkStart w:id="66" w:name="_Toc15377219"/>
      <w:bookmarkStart w:id="67" w:name="_Toc1181"/>
      <w:r>
        <w:rPr>
          <w:rStyle w:val="30"/>
          <w:rFonts w:hint="eastAsia" w:ascii="黑体" w:hAnsi="黑体" w:eastAsia="黑体"/>
          <w:b w:val="0"/>
        </w:rPr>
        <w:t>国有资本经营预算支出决算情况说明</w:t>
      </w:r>
      <w:bookmarkEnd w:id="65"/>
      <w:bookmarkEnd w:id="66"/>
      <w:bookmarkEnd w:id="6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30"/>
          <w:rFonts w:ascii="黑体" w:hAnsi="黑体" w:eastAsia="黑体"/>
        </w:rPr>
      </w:pPr>
      <w:bookmarkStart w:id="68" w:name="_Toc15396612"/>
      <w:bookmarkStart w:id="69" w:name="_Toc15377221"/>
      <w:bookmarkStart w:id="70" w:name="_Toc17668"/>
      <w:r>
        <w:rPr>
          <w:rFonts w:hint="eastAsia" w:ascii="黑体" w:hAnsi="黑体" w:eastAsia="黑体"/>
          <w:color w:val="000000"/>
          <w:sz w:val="32"/>
          <w:szCs w:val="32"/>
        </w:rPr>
        <w:t>十</w:t>
      </w:r>
      <w:r>
        <w:rPr>
          <w:rStyle w:val="30"/>
          <w:rFonts w:hint="eastAsia" w:ascii="黑体" w:hAnsi="黑体" w:eastAsia="黑体"/>
        </w:rPr>
        <w:t>、</w:t>
      </w:r>
      <w:r>
        <w:rPr>
          <w:rStyle w:val="30"/>
          <w:rFonts w:hint="eastAsia" w:ascii="黑体" w:hAnsi="黑体" w:eastAsia="黑体"/>
          <w:b w:val="0"/>
        </w:rPr>
        <w:t>其他重要事项的情况说明</w:t>
      </w:r>
      <w:bookmarkEnd w:id="68"/>
      <w:bookmarkEnd w:id="69"/>
      <w:bookmarkEnd w:id="70"/>
    </w:p>
    <w:p>
      <w:pPr>
        <w:spacing w:line="600" w:lineRule="exact"/>
        <w:ind w:firstLine="643" w:firstLineChars="200"/>
        <w:outlineLvl w:val="2"/>
        <w:rPr>
          <w:rFonts w:ascii="仿宋" w:hAnsi="仿宋" w:eastAsia="仿宋"/>
          <w:color w:val="000000"/>
          <w:sz w:val="32"/>
          <w:szCs w:val="32"/>
        </w:rPr>
      </w:pPr>
      <w:bookmarkStart w:id="71" w:name="_Toc15377222"/>
      <w:r>
        <w:rPr>
          <w:rFonts w:hint="eastAsia" w:ascii="仿宋" w:hAnsi="仿宋" w:eastAsia="仿宋"/>
          <w:b/>
          <w:color w:val="000000"/>
          <w:sz w:val="32"/>
          <w:szCs w:val="32"/>
        </w:rPr>
        <w:t>（一）机关运行经费支出情况</w:t>
      </w:r>
      <w:bookmarkEnd w:id="7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 w:hAnsi="仿宋" w:eastAsia="仿宋"/>
          <w:b/>
          <w:color w:val="000000"/>
          <w:sz w:val="32"/>
          <w:szCs w:val="32"/>
        </w:rPr>
      </w:pPr>
      <w:r>
        <w:rPr>
          <w:rFonts w:hint="eastAsia" w:ascii="仿宋_GB2312" w:hAnsi="仿宋_GB2312" w:eastAsia="仿宋_GB2312" w:cs="仿宋_GB2312"/>
          <w:sz w:val="24"/>
          <w:szCs w:val="24"/>
          <w:shd w:val="clear" w:color="auto" w:fill="FFFFFF"/>
        </w:rPr>
        <w:t> </w:t>
      </w:r>
      <w:r>
        <w:rPr>
          <w:rFonts w:hint="eastAsia" w:ascii="仿宋_GB2312" w:hAnsi="仿宋_GB2312" w:eastAsia="仿宋_GB2312" w:cs="仿宋_GB2312"/>
          <w:sz w:val="24"/>
          <w:szCs w:val="24"/>
          <w:shd w:val="clear" w:color="auto" w:fill="FFFFFF"/>
          <w:lang w:val="en-US" w:eastAsia="zh-CN"/>
        </w:rPr>
        <w:t xml:space="preserve"> </w:t>
      </w:r>
      <w:r>
        <w:rPr>
          <w:rFonts w:hint="eastAsia" w:ascii="仿宋_GB2312" w:eastAsia="仿宋_GB2312"/>
          <w:color w:val="000000"/>
          <w:sz w:val="32"/>
          <w:szCs w:val="32"/>
        </w:rPr>
        <w:t>2019 年，四川省阿坝州供销合作社联合社（本级）机关运行经费支出75.24万元，比2018年增加 10.34万元，增长 15.93%</w:t>
      </w:r>
      <w:r>
        <w:rPr>
          <w:rFonts w:hint="eastAsia" w:ascii="仿宋_GB2312" w:eastAsia="仿宋_GB2312"/>
          <w:color w:val="000000"/>
          <w:sz w:val="32"/>
          <w:szCs w:val="32"/>
          <w:lang w:eastAsia="zh-CN"/>
        </w:rPr>
        <w:t>。</w:t>
      </w:r>
      <w:r>
        <w:rPr>
          <w:rFonts w:hint="eastAsia" w:ascii="仿宋_GB2312" w:eastAsia="仿宋_GB2312"/>
          <w:color w:val="000000"/>
          <w:sz w:val="32"/>
          <w:szCs w:val="32"/>
        </w:rPr>
        <w:t>主</w:t>
      </w:r>
      <w:r>
        <w:rPr>
          <w:rFonts w:hint="eastAsia" w:ascii="仿宋_GB2312" w:eastAsia="仿宋_GB2312"/>
          <w:color w:val="000000" w:themeColor="text1"/>
          <w:sz w:val="32"/>
          <w:szCs w:val="32"/>
          <w14:textFill>
            <w14:solidFill>
              <w14:schemeClr w14:val="tx1"/>
            </w14:solidFill>
          </w14:textFill>
        </w:rPr>
        <w:t>要原因是</w:t>
      </w:r>
      <w:r>
        <w:rPr>
          <w:rFonts w:hint="eastAsia" w:ascii="仿宋_GB2312" w:eastAsia="仿宋_GB2312"/>
          <w:color w:val="000000" w:themeColor="text1"/>
          <w:sz w:val="32"/>
          <w:szCs w:val="32"/>
          <w:lang w:eastAsia="zh-CN"/>
          <w14:textFill>
            <w14:solidFill>
              <w14:schemeClr w14:val="tx1"/>
            </w14:solidFill>
          </w14:textFill>
        </w:rPr>
        <w:t>本年</w:t>
      </w:r>
      <w:r>
        <w:rPr>
          <w:rFonts w:hint="eastAsia" w:ascii="仿宋" w:hAnsi="仿宋" w:eastAsia="仿宋" w:cs="仿宋"/>
          <w:sz w:val="32"/>
          <w:szCs w:val="32"/>
          <w:lang w:val="en-US" w:eastAsia="zh-CN"/>
        </w:rPr>
        <w:t>车辆大修支付修理费50,185元，以及“两联一进”、“脱贫攻坚”、“东西部协作”等工作开展，车辆行驶公里数今年超过6万公里，较上年增加1.4万公里，导致公务用车运行维护费</w:t>
      </w:r>
      <w:r>
        <w:rPr>
          <w:rFonts w:hint="eastAsia" w:ascii="仿宋_GB2312" w:eastAsia="仿宋_GB2312"/>
          <w:color w:val="000000"/>
          <w:sz w:val="32"/>
          <w:szCs w:val="32"/>
        </w:rPr>
        <w:t>比2018年增加10.39万元</w:t>
      </w:r>
      <w:r>
        <w:rPr>
          <w:rFonts w:hint="eastAsia" w:ascii="仿宋" w:hAnsi="仿宋" w:eastAsia="仿宋" w:cs="仿宋"/>
          <w:sz w:val="32"/>
          <w:szCs w:val="32"/>
          <w:lang w:val="en-US" w:eastAsia="zh-CN"/>
        </w:rPr>
        <w:t>。</w:t>
      </w:r>
      <w:bookmarkStart w:id="72" w:name="_Toc15377223"/>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（二）政府采购支出情况</w:t>
      </w:r>
      <w:bookmarkEnd w:id="72"/>
    </w:p>
    <w:p>
      <w:pPr>
        <w:pStyle w:val="12"/>
        <w:keepNext w:val="0"/>
        <w:keepLines w:val="0"/>
        <w:widowControl/>
        <w:suppressLineNumbers w:val="0"/>
        <w:spacing w:before="0" w:beforeAutospacing="0" w:after="0" w:afterAutospacing="0"/>
        <w:ind w:left="0" w:right="0" w:firstLine="640" w:firstLineChars="200"/>
        <w:jc w:val="left"/>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2019 年，四川省阿坝州供销合作社联合社（本级）政府采购支出总额2.28万元，其中：政府采购货物支出 2.28万元。主要用于</w:t>
      </w:r>
      <w:r>
        <w:rPr>
          <w:rFonts w:hint="eastAsia" w:ascii="仿宋_GB2312" w:eastAsia="仿宋_GB2312" w:cs="Times New Roman"/>
          <w:color w:val="000000"/>
          <w:kern w:val="2"/>
          <w:sz w:val="32"/>
          <w:szCs w:val="32"/>
          <w:lang w:val="en-US" w:eastAsia="zh-CN" w:bidi="ar-SA"/>
        </w:rPr>
        <w:t>日常办公</w:t>
      </w:r>
      <w:r>
        <w:rPr>
          <w:rFonts w:hint="eastAsia" w:ascii="仿宋_GB2312" w:hAnsi="Times New Roman" w:eastAsia="仿宋_GB2312" w:cs="Times New Roman"/>
          <w:color w:val="000000"/>
          <w:kern w:val="2"/>
          <w:sz w:val="32"/>
          <w:szCs w:val="32"/>
          <w:lang w:val="en-US" w:eastAsia="zh-CN" w:bidi="ar-SA"/>
        </w:rPr>
        <w:t>。授予中小企业合同金额2.28万元，占政府采购支出总额的100.00%，其中：授予小微企业合同金额0.00万元，占政府 采购支出总额的0.00%。</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3" w:name="_Toc15377224"/>
      <w:r>
        <w:rPr>
          <w:rFonts w:hint="eastAsia" w:ascii="仿宋" w:hAnsi="仿宋" w:eastAsia="仿宋"/>
          <w:b/>
          <w:color w:val="000000"/>
          <w:sz w:val="32"/>
          <w:szCs w:val="32"/>
        </w:rPr>
        <w:t>（三）国有资产占有使用情况</w:t>
      </w:r>
      <w:bookmarkEnd w:id="73"/>
    </w:p>
    <w:p>
      <w:pPr>
        <w:pStyle w:val="12"/>
        <w:keepNext w:val="0"/>
        <w:keepLines w:val="0"/>
        <w:widowControl/>
        <w:suppressLineNumbers w:val="0"/>
        <w:spacing w:before="0" w:beforeAutospacing="0" w:after="0" w:afterAutospacing="0"/>
        <w:ind w:left="0" w:right="0" w:firstLine="640" w:firstLineChars="200"/>
        <w:jc w:val="left"/>
        <w:rPr>
          <w:rFonts w:ascii="仿宋" w:hAnsi="仿宋" w:eastAsia="仿宋"/>
          <w:b/>
          <w:color w:val="FF0000"/>
          <w:sz w:val="32"/>
          <w:szCs w:val="32"/>
        </w:rPr>
      </w:pPr>
      <w:r>
        <w:rPr>
          <w:rFonts w:hint="eastAsia" w:ascii="仿宋_GB2312" w:hAnsi="Times New Roman" w:eastAsia="仿宋_GB2312" w:cs="Times New Roman"/>
          <w:color w:val="000000"/>
          <w:kern w:val="2"/>
          <w:sz w:val="32"/>
          <w:szCs w:val="32"/>
          <w:lang w:val="en-US" w:eastAsia="zh-CN" w:bidi="ar-SA"/>
        </w:rPr>
        <w:t>截至2019年12月31日，四川省阿坝州供销合作社联合社（本级）共有车辆2辆，其中：其他用车 2辆。主要是用于</w:t>
      </w:r>
      <w:r>
        <w:rPr>
          <w:rFonts w:hint="eastAsia" w:ascii="仿宋_GB2312" w:eastAsia="仿宋_GB2312"/>
          <w:color w:val="000000"/>
          <w:sz w:val="32"/>
          <w:szCs w:val="32"/>
          <w:lang w:eastAsia="zh-CN"/>
        </w:rPr>
        <w:t>到各县调研、开展日常工作</w:t>
      </w:r>
      <w:r>
        <w:rPr>
          <w:rFonts w:hint="eastAsia" w:ascii="仿宋_GB2312" w:hAnsi="Times New Roman" w:eastAsia="仿宋_GB2312" w:cs="Times New Roman"/>
          <w:color w:val="000000"/>
          <w:kern w:val="2"/>
          <w:sz w:val="32"/>
          <w:szCs w:val="32"/>
          <w:lang w:val="en-US" w:eastAsia="zh-CN" w:bidi="ar-SA"/>
        </w:rPr>
        <w:t>。单价50万元以上通用设备0台（套），单价100万元以上专用设备0台（套）。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本部门无专项预算项目，因此未组织开展项目支出绩效评价。</w:t>
      </w: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阿坝州供销社</w:t>
      </w:r>
      <w:r>
        <w:rPr>
          <w:rFonts w:hint="eastAsia" w:ascii="仿宋_GB2312" w:hAnsi="仿宋_GB2312" w:eastAsia="仿宋_GB2312" w:cs="仿宋_GB2312"/>
          <w:sz w:val="32"/>
          <w:szCs w:val="32"/>
        </w:rPr>
        <w:t>2019年部门整体支出绩效评价报告》见附件（附件1）。</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9"/>
          <w:rFonts w:ascii="黑体" w:hAnsi="黑体" w:eastAsia="黑体"/>
          <w:b w:val="0"/>
        </w:rPr>
      </w:pPr>
      <w:bookmarkStart w:id="74" w:name="_Toc15396613"/>
      <w:bookmarkStart w:id="75" w:name="_Toc15377225"/>
      <w:bookmarkStart w:id="76" w:name="_Toc27543"/>
      <w:r>
        <w:rPr>
          <w:rFonts w:hint="eastAsia" w:ascii="黑体" w:hAnsi="黑体" w:eastAsia="黑体"/>
          <w:color w:val="000000"/>
          <w:sz w:val="44"/>
          <w:szCs w:val="44"/>
        </w:rPr>
        <w:t>名</w:t>
      </w:r>
      <w:r>
        <w:rPr>
          <w:rStyle w:val="29"/>
          <w:rFonts w:hint="eastAsia" w:ascii="黑体" w:hAnsi="黑体" w:eastAsia="黑体"/>
          <w:b w:val="0"/>
        </w:rPr>
        <w:t>词解释</w:t>
      </w:r>
      <w:bookmarkEnd w:id="74"/>
      <w:bookmarkEnd w:id="75"/>
      <w:bookmarkEnd w:id="76"/>
    </w:p>
    <w:p>
      <w:pPr>
        <w:spacing w:line="600" w:lineRule="exact"/>
        <w:jc w:val="left"/>
        <w:rPr>
          <w:rFonts w:ascii="宋体"/>
          <w:b/>
          <w:color w:val="000000"/>
          <w:sz w:val="44"/>
          <w:szCs w:val="44"/>
        </w:rPr>
      </w:pPr>
    </w:p>
    <w:p>
      <w:pPr>
        <w:pStyle w:val="27"/>
        <w:spacing w:line="560" w:lineRule="exact"/>
        <w:ind w:firstLine="640" w:firstLineChars="200"/>
        <w:rPr>
          <w:rFonts w:hint="eastAsia" w:ascii="仿宋_GB2312" w:eastAsia="仿宋_GB2312"/>
          <w:sz w:val="32"/>
          <w:szCs w:val="32"/>
        </w:rPr>
      </w:pPr>
      <w:bookmarkStart w:id="77" w:name="_Toc15377226"/>
      <w:r>
        <w:rPr>
          <w:rFonts w:hint="eastAsia" w:ascii="仿宋_GB2312" w:eastAsia="仿宋_GB2312"/>
          <w:sz w:val="32"/>
          <w:szCs w:val="32"/>
        </w:rPr>
        <w:t>1.财政拨款收入：指单位从同级财政部门取得的财政预算资金。</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eastAsia="zh-CN"/>
        </w:rPr>
        <w:t>利息收入</w:t>
      </w:r>
      <w:r>
        <w:rPr>
          <w:rFonts w:hint="eastAsia" w:ascii="仿宋_GB2312" w:eastAsia="仿宋_GB2312"/>
          <w:sz w:val="32"/>
          <w:szCs w:val="32"/>
        </w:rPr>
        <w:t xml:space="preserve">等。 </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 xml:space="preserve">.年初结转和结余：指以前年度尚未完成、结转到本年按有关规定继续使用的资金。 </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.结余分配：指事业单位按照事业单位会计制度的规定从非财政补助结余中分配的事业基金和职工福利基金等。</w:t>
      </w:r>
    </w:p>
    <w:p>
      <w:pPr>
        <w:pStyle w:val="27"/>
        <w:spacing w:line="560" w:lineRule="exact"/>
        <w:ind w:firstLine="640" w:firstLineChars="200"/>
        <w:rPr>
          <w:rFonts w:hint="eastAsia" w:ascii="仿宋_GB2312" w:eastAsia="仿宋_GB2312"/>
          <w:color w:val="000000"/>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.社会保障和就业（类）行政事业单位离退休（款） 机关事业单位基本养老保险缴费支出（项）</w:t>
      </w:r>
      <w:r>
        <w:rPr>
          <w:rFonts w:hint="eastAsia" w:ascii="仿宋_GB2312" w:eastAsia="仿宋_GB2312"/>
          <w:color w:val="000000"/>
          <w:sz w:val="32"/>
          <w:szCs w:val="32"/>
          <w:lang w:eastAsia="zh-CN"/>
        </w:rPr>
        <w:t>：指机关事业单位实施养老保险制度由单位缴纳的基本养老保险费支出。</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社会保障和就业（类）行政事业单位离退休（款） 机关事业单位职业年金缴费支出（项）</w:t>
      </w:r>
      <w:r>
        <w:rPr>
          <w:rFonts w:hint="eastAsia" w:ascii="仿宋_GB2312" w:eastAsia="仿宋_GB2312"/>
          <w:color w:val="000000"/>
          <w:sz w:val="32"/>
          <w:szCs w:val="32"/>
          <w:lang w:eastAsia="zh-CN"/>
        </w:rPr>
        <w:t>：指机关事业单位实施养老保险制度由单位实际缴纳的职业年金支出。</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医疗卫生与计划生育（类）行政事业单位医疗（款）  行政单位医疗（项）</w:t>
      </w:r>
      <w:r>
        <w:rPr>
          <w:rFonts w:hint="eastAsia" w:ascii="仿宋_GB2312" w:eastAsia="仿宋_GB2312"/>
          <w:color w:val="000000"/>
          <w:sz w:val="32"/>
          <w:szCs w:val="32"/>
          <w:lang w:eastAsia="zh-CN"/>
        </w:rPr>
        <w:t>：指反映财政部门集中安排的行政单位基本医疗保险缴费经费。</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 xml:space="preserve">9.商业服务业等支出（类）商业流通事务（款）行政运行（项）: </w:t>
      </w:r>
      <w:r>
        <w:rPr>
          <w:rFonts w:hint="eastAsia" w:ascii="仿宋_GB2312" w:eastAsia="仿宋_GB2312"/>
          <w:color w:val="000000"/>
          <w:sz w:val="32"/>
          <w:szCs w:val="32"/>
          <w:lang w:eastAsia="zh-CN"/>
        </w:rPr>
        <w:t>指反映行政单位（包括实行公务员管理的事业单位）的基本支出。</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 xml:space="preserve">商业服务业等支出（类）商业流通事务（款）一般行政管理事务（项）: </w:t>
      </w:r>
      <w:r>
        <w:rPr>
          <w:rFonts w:hint="eastAsia" w:ascii="仿宋_GB2312" w:eastAsia="仿宋_GB2312"/>
          <w:color w:val="000000"/>
          <w:sz w:val="32"/>
          <w:szCs w:val="32"/>
          <w:lang w:eastAsia="zh-CN"/>
        </w:rPr>
        <w:t>指反映行政单位（包括实行公务员管理的事业单位）未单独设置项级科目的其他项目支出。</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 xml:space="preserve">.住房保障支出（类）住房改革支出（款）住房公积金（项）: </w:t>
      </w:r>
      <w:r>
        <w:rPr>
          <w:rFonts w:hint="eastAsia" w:ascii="仿宋_GB2312" w:eastAsia="仿宋_GB2312"/>
          <w:color w:val="000000"/>
          <w:sz w:val="32"/>
          <w:szCs w:val="32"/>
          <w:lang w:eastAsia="zh-CN"/>
        </w:rPr>
        <w:t>指反映行政事业单位按人力资源和社会保障部、财政部规定的基本工资和津贴补贴以及规定比例为职工缴纳的住房公积金。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 xml:space="preserve">住房保障支出（类）住房改革支出（款） 购房补贴（项）: </w:t>
      </w:r>
      <w:r>
        <w:rPr>
          <w:rFonts w:hint="eastAsia" w:ascii="仿宋_GB2312" w:eastAsia="仿宋_GB2312"/>
          <w:color w:val="000000"/>
          <w:sz w:val="32"/>
          <w:szCs w:val="32"/>
          <w:lang w:eastAsia="zh-CN"/>
        </w:rPr>
        <w:t>指按房改政策规定，行政事业单位向符合条件职工（含离退休人员）、军队（含武警）向转役复员离退休人员发放的用于购买住房的补贴</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 xml:space="preserve">.项目支出：指在基本支出之外为完成特定行政任务和事业发展目标所发生的支出。 </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16</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hint="eastAsia" w:ascii="仿宋_GB2312" w:eastAsia="仿宋_GB2312"/>
          <w:b/>
          <w:color w:val="000000"/>
          <w:sz w:val="32"/>
          <w:szCs w:val="32"/>
        </w:rPr>
      </w:pPr>
      <w:r>
        <w:rPr>
          <w:rFonts w:hint="eastAsia" w:ascii="仿宋_GB2312" w:eastAsia="仿宋_GB2312"/>
          <w:sz w:val="32"/>
          <w:szCs w:val="32"/>
          <w:lang w:val="en-US" w:eastAsia="zh-CN"/>
        </w:rPr>
        <w:t>17.</w:t>
      </w:r>
      <w:r>
        <w:rPr>
          <w:rFonts w:hint="eastAsia" w:ascii="仿宋_GB2312" w:eastAsia="仿宋_GB2312"/>
          <w:sz w:val="32"/>
          <w:szCs w:val="32"/>
        </w:rPr>
        <w:t>人员经费：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spacing w:line="600" w:lineRule="exact"/>
        <w:jc w:val="center"/>
        <w:outlineLvl w:val="0"/>
        <w:rPr>
          <w:rStyle w:val="29"/>
          <w:rFonts w:ascii="黑体" w:hAnsi="黑体" w:eastAsia="黑体"/>
          <w:b w:val="0"/>
        </w:rPr>
      </w:pPr>
      <w:r>
        <w:rPr>
          <w:rFonts w:ascii="宋体"/>
          <w:b/>
          <w:color w:val="000000"/>
          <w:sz w:val="44"/>
          <w:szCs w:val="44"/>
        </w:rPr>
        <w:br w:type="page"/>
      </w:r>
      <w:bookmarkStart w:id="78" w:name="_Toc15396614"/>
      <w:bookmarkStart w:id="79" w:name="_Toc6646"/>
      <w:r>
        <w:rPr>
          <w:rFonts w:hint="eastAsia" w:ascii="黑体" w:hAnsi="黑体" w:eastAsia="黑体"/>
          <w:color w:val="000000"/>
          <w:sz w:val="44"/>
          <w:szCs w:val="44"/>
        </w:rPr>
        <w:t>第</w:t>
      </w:r>
      <w:r>
        <w:rPr>
          <w:rStyle w:val="29"/>
          <w:rFonts w:hint="eastAsia" w:ascii="黑体" w:hAnsi="黑体" w:eastAsia="黑体"/>
          <w:b w:val="0"/>
        </w:rPr>
        <w:t>四部分 附件</w:t>
      </w:r>
      <w:bookmarkEnd w:id="78"/>
      <w:bookmarkEnd w:id="79"/>
    </w:p>
    <w:p>
      <w:pPr>
        <w:pStyle w:val="3"/>
        <w:bidi w:val="0"/>
      </w:pPr>
      <w:bookmarkStart w:id="80" w:name="_Toc23615"/>
      <w:r>
        <w:rPr>
          <w:rFonts w:hint="eastAsia"/>
        </w:rPr>
        <w:t>附件1</w:t>
      </w:r>
      <w:bookmarkEnd w:id="80"/>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val="zh-CN" w:eastAsia="zh-CN"/>
        </w:rPr>
      </w:pPr>
      <w:r>
        <w:rPr>
          <w:rFonts w:hint="eastAsia" w:ascii="方正小标宋简体" w:hAnsi="宋体" w:eastAsia="方正小标宋简体"/>
          <w:color w:val="000000"/>
          <w:kern w:val="0"/>
          <w:sz w:val="40"/>
          <w:szCs w:val="44"/>
          <w:lang w:val="zh-CN" w:eastAsia="zh-CN"/>
        </w:rPr>
        <w:t>阿坝州供销合作社联合社</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ind w:firstLine="627" w:firstLineChars="196"/>
        <w:rPr>
          <w:rFonts w:ascii="仿宋_GB2312" w:hAnsi="宋体" w:eastAsia="仿宋_GB2312"/>
          <w:sz w:val="32"/>
          <w:szCs w:val="32"/>
        </w:rPr>
      </w:pPr>
      <w:r>
        <w:rPr>
          <w:rFonts w:hint="eastAsia" w:ascii="楷体_GB2312" w:eastAsia="楷体_GB2312"/>
          <w:sz w:val="32"/>
          <w:szCs w:val="32"/>
        </w:rPr>
        <w:t>（一）机构组成。</w:t>
      </w:r>
      <w:r>
        <w:rPr>
          <w:rFonts w:hint="eastAsia" w:ascii="仿宋_GB2312" w:hAnsi="宋体" w:eastAsia="仿宋_GB2312"/>
          <w:sz w:val="32"/>
          <w:szCs w:val="32"/>
        </w:rPr>
        <w:t>阿坝藏族羌族自治州供销合作社联合社属参照公务员管理的事业单位，所需经费全额纳入预算管理。组织机构代码为12513200008911095E，预算代码为159101，2015年请示财政后，执行行政单位会计制度。</w:t>
      </w:r>
    </w:p>
    <w:p>
      <w:pPr>
        <w:ind w:firstLine="627" w:firstLineChars="196"/>
        <w:rPr>
          <w:rFonts w:ascii="仿宋_GB2312" w:hAnsi="宋体" w:eastAsia="仿宋_GB2312"/>
          <w:sz w:val="32"/>
          <w:szCs w:val="32"/>
        </w:rPr>
      </w:pPr>
      <w:r>
        <w:rPr>
          <w:rFonts w:hint="eastAsia" w:ascii="楷体_GB2312" w:eastAsia="楷体_GB2312"/>
          <w:sz w:val="32"/>
          <w:szCs w:val="32"/>
        </w:rPr>
        <w:t>（二）机构职能</w:t>
      </w:r>
      <w:r>
        <w:rPr>
          <w:rFonts w:hint="eastAsia" w:ascii="仿宋_GB2312" w:eastAsia="仿宋_GB2312"/>
          <w:sz w:val="32"/>
          <w:szCs w:val="32"/>
        </w:rPr>
        <w:t>。</w:t>
      </w:r>
      <w:r>
        <w:rPr>
          <w:rFonts w:hint="eastAsia" w:ascii="仿宋_GB2312" w:hAnsi="宋体" w:eastAsia="仿宋_GB2312"/>
          <w:sz w:val="32"/>
          <w:szCs w:val="32"/>
        </w:rPr>
        <w:t>一是宣传贯彻党中央、国务院、省委、省政府和州委、州政府有关农业、农村经济工作和社会发展的方针、政策；二是研究制定全州供销合作社发展规划；指导全州供销合作社的改革和发展，加快体制、机制创新，探索社会主义市场经济条件下合作经济的多种形式；三是受政府委托，负责对重要农业生产资料、重要农畜产品和政策性商品经营资格审定、质量监督和行业管理及有关救灾物资的组织、储备、调运工作；四是协调同政府有关部门、社会组织的关系，研究供销合作经济运行中的重大问题；了解、反映供销合作社系统和农牧民群众的意见和要求，维护合作经济组织的合法权益；五是组织全州供销社系统参与和推进农业产业化经营，加强农畜产品市场调查研究，培育农畜产品市场，组织发展专业合作社、消费合作社等中介服务组织，培育龙头产业，加强商品供求、市场、信息服务体系建设；六是指导农村社会化服务体系建设，推进建立现代流通体系和现代营销方式，发展社区性、综合性、便民性社区综合服务社，满足农牧民生产、生活等社会化服务的需要；七是承担州政府交办的其他事项。</w:t>
      </w:r>
    </w:p>
    <w:p>
      <w:pPr>
        <w:ind w:firstLine="627" w:firstLineChars="196"/>
        <w:rPr>
          <w:rFonts w:ascii="仿宋_GB2312" w:hAnsi="宋体" w:eastAsia="仿宋_GB2312"/>
          <w:sz w:val="32"/>
          <w:szCs w:val="32"/>
        </w:rPr>
      </w:pPr>
      <w:r>
        <w:rPr>
          <w:rFonts w:hint="eastAsia" w:ascii="楷体_GB2312" w:hAnsi="宋体" w:eastAsia="楷体_GB2312"/>
          <w:sz w:val="32"/>
          <w:szCs w:val="32"/>
        </w:rPr>
        <w:t>（三）人员概况。</w:t>
      </w:r>
      <w:r>
        <w:rPr>
          <w:rFonts w:hint="eastAsia" w:ascii="仿宋_GB2312" w:hAnsi="宋体" w:eastAsia="仿宋_GB2312"/>
          <w:sz w:val="32"/>
          <w:szCs w:val="32"/>
        </w:rPr>
        <w:t>人员编制21名，内设四科一室。201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年12月31日，有在职职工1</w:t>
      </w:r>
      <w:r>
        <w:rPr>
          <w:rFonts w:hint="eastAsia" w:ascii="仿宋_GB2312" w:hAnsi="宋体" w:eastAsia="仿宋_GB2312"/>
          <w:sz w:val="32"/>
          <w:szCs w:val="32"/>
          <w:lang w:val="en-US" w:eastAsia="zh-CN"/>
        </w:rPr>
        <w:t>6</w:t>
      </w:r>
      <w:r>
        <w:rPr>
          <w:rFonts w:hint="eastAsia" w:ascii="仿宋_GB2312" w:hAnsi="宋体" w:eastAsia="仿宋_GB2312"/>
          <w:sz w:val="32"/>
          <w:szCs w:val="32"/>
        </w:rPr>
        <w:t>人，其中男性1</w:t>
      </w:r>
      <w:r>
        <w:rPr>
          <w:rFonts w:hint="eastAsia" w:ascii="仿宋_GB2312" w:hAnsi="宋体" w:eastAsia="仿宋_GB2312"/>
          <w:sz w:val="32"/>
          <w:szCs w:val="32"/>
          <w:lang w:val="en-US" w:eastAsia="zh-CN"/>
        </w:rPr>
        <w:t>0</w:t>
      </w:r>
      <w:r>
        <w:rPr>
          <w:rFonts w:hint="eastAsia" w:ascii="仿宋_GB2312" w:hAnsi="宋体" w:eastAsia="仿宋_GB2312"/>
          <w:sz w:val="32"/>
          <w:szCs w:val="32"/>
        </w:rPr>
        <w:t>人，女性</w:t>
      </w:r>
      <w:r>
        <w:rPr>
          <w:rFonts w:hint="eastAsia" w:ascii="仿宋_GB2312" w:hAnsi="宋体" w:eastAsia="仿宋_GB2312"/>
          <w:sz w:val="32"/>
          <w:szCs w:val="32"/>
          <w:lang w:val="en-US" w:eastAsia="zh-CN"/>
        </w:rPr>
        <w:t>6</w:t>
      </w:r>
      <w:r>
        <w:rPr>
          <w:rFonts w:hint="eastAsia" w:ascii="仿宋_GB2312" w:hAnsi="宋体" w:eastAsia="仿宋_GB2312"/>
          <w:sz w:val="32"/>
          <w:szCs w:val="32"/>
        </w:rPr>
        <w:t>人，有离休退休人员28人。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spacing w:line="580" w:lineRule="exact"/>
        <w:ind w:firstLine="640" w:firstLineChars="2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580"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sz w:val="32"/>
          <w:szCs w:val="32"/>
        </w:rPr>
        <w:t>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年阿坝州供销社</w:t>
      </w:r>
      <w:bookmarkStart w:id="109" w:name="_GoBack"/>
      <w:bookmarkEnd w:id="109"/>
      <w:r>
        <w:rPr>
          <w:rFonts w:hint="eastAsia" w:ascii="仿宋_GB2312" w:hAnsi="宋体" w:eastAsia="仿宋_GB2312"/>
          <w:sz w:val="32"/>
          <w:szCs w:val="32"/>
          <w:lang w:eastAsia="zh-CN"/>
        </w:rPr>
        <w:t>财政资金本年</w:t>
      </w:r>
      <w:r>
        <w:rPr>
          <w:rFonts w:hint="eastAsia" w:ascii="仿宋_GB2312" w:hAnsi="宋体" w:eastAsia="仿宋_GB2312"/>
          <w:sz w:val="32"/>
          <w:szCs w:val="32"/>
        </w:rPr>
        <w:t>收入</w:t>
      </w:r>
      <w:r>
        <w:rPr>
          <w:rFonts w:hint="eastAsia" w:ascii="仿宋_GB2312" w:hAnsi="宋体" w:eastAsia="仿宋_GB2312"/>
          <w:sz w:val="32"/>
          <w:szCs w:val="32"/>
          <w:lang w:val="en-US" w:eastAsia="zh-CN"/>
        </w:rPr>
        <w:t>385.22万</w:t>
      </w:r>
      <w:r>
        <w:rPr>
          <w:rFonts w:hint="eastAsia" w:ascii="仿宋_GB2312" w:hAnsi="宋体" w:eastAsia="仿宋_GB2312"/>
          <w:sz w:val="32"/>
          <w:szCs w:val="32"/>
        </w:rPr>
        <w:t>元</w:t>
      </w:r>
      <w:r>
        <w:rPr>
          <w:rFonts w:hint="eastAsia" w:ascii="仿宋_GB2312" w:hAnsi="宋体" w:eastAsia="仿宋_GB2312"/>
          <w:sz w:val="32"/>
          <w:szCs w:val="32"/>
          <w:lang w:eastAsia="zh-CN"/>
        </w:rPr>
        <w:t>，年初财政拨款结转和结余</w:t>
      </w:r>
      <w:r>
        <w:rPr>
          <w:rFonts w:hint="eastAsia" w:ascii="仿宋_GB2312" w:hAnsi="宋体" w:eastAsia="仿宋_GB2312"/>
          <w:sz w:val="32"/>
          <w:szCs w:val="32"/>
          <w:lang w:val="en-US" w:eastAsia="zh-CN"/>
        </w:rPr>
        <w:t>105.66万元</w:t>
      </w:r>
      <w:r>
        <w:rPr>
          <w:rFonts w:hint="eastAsia" w:ascii="仿宋_GB2312" w:hAnsi="宋体" w:eastAsia="仿宋_GB2312"/>
          <w:sz w:val="32"/>
          <w:szCs w:val="32"/>
        </w:rPr>
        <w:t>。</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pStyle w:val="12"/>
        <w:keepNext w:val="0"/>
        <w:keepLines w:val="0"/>
        <w:widowControl/>
        <w:suppressLineNumbers w:val="0"/>
        <w:spacing w:before="0" w:beforeAutospacing="0" w:after="0" w:afterAutospacing="0"/>
        <w:ind w:left="0" w:right="0"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财政资金本年</w:t>
      </w:r>
      <w:r>
        <w:rPr>
          <w:rFonts w:hint="eastAsia" w:ascii="仿宋_GB2312" w:eastAsia="仿宋_GB2312"/>
          <w:color w:val="000000"/>
          <w:sz w:val="32"/>
          <w:szCs w:val="32"/>
        </w:rPr>
        <w:t>支出</w:t>
      </w:r>
      <w:r>
        <w:rPr>
          <w:rFonts w:hint="eastAsia" w:ascii="仿宋_GB2312" w:eastAsia="仿宋_GB2312"/>
          <w:color w:val="000000"/>
          <w:sz w:val="32"/>
          <w:szCs w:val="32"/>
          <w:lang w:val="en-US" w:eastAsia="zh-CN"/>
        </w:rPr>
        <w:t>490.88</w:t>
      </w:r>
      <w:r>
        <w:rPr>
          <w:rFonts w:hint="eastAsia" w:ascii="仿宋_GB2312" w:eastAsia="仿宋_GB2312"/>
          <w:color w:val="000000"/>
          <w:sz w:val="32"/>
          <w:szCs w:val="32"/>
        </w:rPr>
        <w:t>万元，主要用于以下方面:社会保障和就业支出</w:t>
      </w:r>
      <w:r>
        <w:rPr>
          <w:rFonts w:hint="eastAsia" w:ascii="仿宋_GB2312" w:eastAsia="仿宋_GB2312"/>
          <w:color w:val="000000"/>
          <w:sz w:val="32"/>
          <w:szCs w:val="32"/>
          <w:lang w:val="en-US" w:eastAsia="zh-CN"/>
        </w:rPr>
        <w:t>44.57</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卫生健康</w:t>
      </w:r>
      <w:r>
        <w:rPr>
          <w:rFonts w:hint="eastAsia" w:ascii="仿宋_GB2312" w:eastAsia="仿宋_GB2312"/>
          <w:color w:val="000000"/>
          <w:sz w:val="32"/>
          <w:szCs w:val="32"/>
        </w:rPr>
        <w:t>支出</w:t>
      </w:r>
      <w:r>
        <w:rPr>
          <w:rFonts w:hint="eastAsia" w:ascii="仿宋_GB2312" w:eastAsia="仿宋_GB2312"/>
          <w:color w:val="000000"/>
          <w:sz w:val="32"/>
          <w:szCs w:val="32"/>
          <w:lang w:val="en-US" w:eastAsia="zh-CN"/>
        </w:rPr>
        <w:t>20.80</w:t>
      </w:r>
      <w:r>
        <w:rPr>
          <w:rFonts w:hint="eastAsia" w:ascii="仿宋_GB2312" w:eastAsia="仿宋_GB2312"/>
          <w:color w:val="000000"/>
          <w:sz w:val="32"/>
          <w:szCs w:val="32"/>
        </w:rPr>
        <w:t>万元，商业服务业等支出</w:t>
      </w:r>
      <w:r>
        <w:rPr>
          <w:rFonts w:hint="eastAsia" w:ascii="仿宋_GB2312" w:eastAsia="仿宋_GB2312"/>
          <w:color w:val="000000"/>
          <w:sz w:val="32"/>
          <w:szCs w:val="32"/>
          <w:lang w:val="en-US" w:eastAsia="zh-CN"/>
        </w:rPr>
        <w:t>399.18万元，</w:t>
      </w:r>
      <w:r>
        <w:rPr>
          <w:rFonts w:hint="eastAsia" w:ascii="仿宋_GB2312" w:eastAsia="仿宋_GB2312"/>
          <w:color w:val="000000"/>
          <w:sz w:val="32"/>
          <w:szCs w:val="32"/>
        </w:rPr>
        <w:t>住房保障支出</w:t>
      </w:r>
      <w:r>
        <w:rPr>
          <w:rFonts w:hint="eastAsia" w:ascii="仿宋_GB2312" w:eastAsia="仿宋_GB2312"/>
          <w:color w:val="000000"/>
          <w:sz w:val="32"/>
          <w:szCs w:val="32"/>
          <w:lang w:val="en-US" w:eastAsia="zh-CN"/>
        </w:rPr>
        <w:t>26.33</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年末结转和结余</w:t>
      </w:r>
      <w:r>
        <w:rPr>
          <w:rFonts w:hint="eastAsia" w:ascii="仿宋_GB2312" w:eastAsia="仿宋_GB2312"/>
          <w:color w:val="000000"/>
          <w:sz w:val="32"/>
          <w:szCs w:val="32"/>
          <w:lang w:val="en-US" w:eastAsia="zh-CN"/>
        </w:rPr>
        <w:t>0.69万元</w:t>
      </w:r>
      <w:r>
        <w:rPr>
          <w:rFonts w:hint="eastAsia" w:ascii="仿宋" w:hAnsi="仿宋" w:eastAsia="仿宋" w:cs="Times New Roman"/>
          <w:color w:val="000000" w:themeColor="text1"/>
          <w:kern w:val="2"/>
          <w:sz w:val="32"/>
          <w:szCs w:val="32"/>
          <w:lang w:val="en-US" w:eastAsia="zh-CN" w:bidi="ar-SA"/>
          <w14:textFill>
            <w14:solidFill>
              <w14:schemeClr w14:val="tx1"/>
            </w14:solidFill>
          </w14:textFill>
        </w:rPr>
        <w:t>。</w:t>
      </w:r>
    </w:p>
    <w:p>
      <w:pPr>
        <w:spacing w:line="600" w:lineRule="exact"/>
        <w:ind w:firstLine="640" w:firstLineChars="200"/>
        <w:rPr>
          <w:rFonts w:hint="default" w:ascii="仿宋" w:hAnsi="仿宋" w:eastAsia="仿宋_GB2312"/>
          <w:color w:val="000000"/>
          <w:sz w:val="32"/>
          <w:szCs w:val="32"/>
          <w:lang w:val="en-US" w:eastAsia="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ind w:firstLine="790" w:firstLineChars="247"/>
        <w:rPr>
          <w:rFonts w:hint="eastAsia" w:ascii="仿宋_GB2312" w:hAnsi="宋体" w:eastAsia="仿宋_GB2312"/>
          <w:b/>
          <w:sz w:val="32"/>
          <w:szCs w:val="32"/>
        </w:rPr>
      </w:pPr>
      <w:r>
        <w:rPr>
          <w:rFonts w:hint="eastAsia" w:ascii="仿宋_GB2312" w:hAnsi="宋体" w:eastAsia="仿宋_GB2312"/>
          <w:sz w:val="32"/>
          <w:szCs w:val="32"/>
        </w:rPr>
        <w:t>一是按照有关文件精神，实事求是填报人员信息，确保人员经费准确无误；二是项目支出严格执行州委、州政府的方针政策，按采购程序和要求进行项目采购；三是严格执行差旅费管理办法和公务接待制度，按标准执行公务接待费及公务用车运行费，因公出国（境）无预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 w:hAnsi="仿宋" w:eastAsia="仿宋" w:cs="仿宋_GB2312"/>
          <w:sz w:val="32"/>
          <w:szCs w:val="32"/>
        </w:rPr>
      </w:pPr>
      <w:r>
        <w:rPr>
          <w:rFonts w:hint="eastAsia" w:ascii="仿宋_GB2312" w:hAnsi="宋体-18030" w:eastAsia="仿宋_GB2312" w:cs="宋体-18030"/>
          <w:sz w:val="32"/>
          <w:szCs w:val="32"/>
        </w:rPr>
        <w:t>严格按照预决算编制工作要求，结合年度工作任务认真编制年度部门预算，</w:t>
      </w:r>
      <w:r>
        <w:rPr>
          <w:rFonts w:hint="eastAsia" w:ascii="仿宋_GB2312" w:hAnsi="宋体-18030" w:eastAsia="仿宋_GB2312" w:cs="宋体-18030"/>
          <w:sz w:val="32"/>
          <w:szCs w:val="32"/>
          <w:lang w:eastAsia="zh-CN"/>
        </w:rPr>
        <w:t>目标完成较好，预算编制较为准确，支出按季控制、动态调速，执行进度良好，预算完成情况较好，无违规记录。</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包括部门绩效目标制定、目标完成、预算编制准确、支出控制、预算动态调整、执行进度、预算完成情况和违规记录等情况。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是在日常事务中，严格执行《预算法》、《会计法》、《政府采购法》等一系列相关法律法规，严格履行报批手续，无计划安排不报账，无领导审批不报账，无经手人签字不报账，不符合财务规定的发票、票据不报账；二是在经济运行中，分清经费的来源、用途、性质及要求，正确划清事业经费和专项经费界线，根据资金要求，合理安排各项支出。坚持收支两条线，专款专用。</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同时</w:t>
      </w:r>
      <w:r>
        <w:rPr>
          <w:rFonts w:hint="eastAsia" w:ascii="仿宋_GB2312" w:hAnsi="宋体" w:eastAsia="仿宋_GB2312"/>
          <w:sz w:val="32"/>
          <w:szCs w:val="32"/>
        </w:rPr>
        <w:t>按照财政相关要求，部门绩效目标随同部门预算公开；整体支出绩效自评情况随同部门决算公开。包括部门自评质量、绩效目标公开和自评公开、评价结果整改和应用结果反馈等情况。</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ind w:firstLine="640" w:firstLineChars="200"/>
        <w:rPr>
          <w:rFonts w:hint="eastAsia" w:ascii="仿宋_GB2312" w:hAnsi="宋体-18030" w:eastAsia="仿宋_GB2312" w:cs="宋体-18030"/>
          <w:color w:val="000000"/>
          <w:kern w:val="0"/>
          <w:sz w:val="32"/>
          <w:szCs w:val="32"/>
          <w:u w:val="none" w:color="000000"/>
        </w:rPr>
      </w:pPr>
      <w:r>
        <w:rPr>
          <w:rFonts w:hint="eastAsia" w:ascii="仿宋_GB2312" w:hAnsi="宋体-18030" w:eastAsia="仿宋_GB2312" w:cs="宋体-18030"/>
          <w:color w:val="000000"/>
          <w:kern w:val="0"/>
          <w:sz w:val="32"/>
          <w:szCs w:val="32"/>
          <w:u w:val="none" w:color="000000"/>
        </w:rPr>
        <w:t>近年来，州供销社按照国家的法律法规加强预算管理，严格开支标准，不断完善内控制度，完成州委、州政府赋予的各项工作，</w:t>
      </w:r>
      <w:r>
        <w:rPr>
          <w:rFonts w:hint="eastAsia" w:ascii="仿宋_GB2312" w:hAnsi="仿宋_GB2312" w:eastAsia="仿宋_GB2312" w:cs="仿宋_GB2312"/>
          <w:sz w:val="30"/>
          <w:szCs w:val="30"/>
          <w:shd w:val="clear" w:color="auto" w:fill="FFFFFF"/>
        </w:rPr>
        <w:t>完成了年度的各项工作目标</w:t>
      </w:r>
      <w:r>
        <w:rPr>
          <w:rFonts w:hint="eastAsia" w:ascii="仿宋_GB2312" w:hAnsi="宋体-18030" w:eastAsia="仿宋_GB2312" w:cs="宋体-18030"/>
          <w:color w:val="000000"/>
          <w:kern w:val="0"/>
          <w:sz w:val="32"/>
          <w:szCs w:val="32"/>
          <w:u w:val="none" w:color="000000"/>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ind w:firstLine="640" w:firstLineChars="200"/>
        <w:rPr>
          <w:rFonts w:hint="eastAsia" w:ascii="仿宋_GB2312" w:hAnsi="宋体-18030" w:eastAsia="仿宋_GB2312" w:cs="宋体-18030"/>
          <w:color w:val="000000"/>
          <w:kern w:val="0"/>
          <w:sz w:val="32"/>
          <w:szCs w:val="32"/>
          <w:u w:val="none" w:color="000000"/>
        </w:rPr>
      </w:pPr>
      <w:r>
        <w:rPr>
          <w:rFonts w:hint="eastAsia" w:ascii="仿宋_GB2312" w:hAnsi="宋体-18030" w:eastAsia="仿宋_GB2312" w:cs="宋体-18030"/>
          <w:color w:val="000000"/>
          <w:kern w:val="0"/>
          <w:sz w:val="32"/>
          <w:szCs w:val="32"/>
          <w:u w:val="none" w:color="000000"/>
        </w:rPr>
        <w:t>通过本次评价发现，</w:t>
      </w:r>
      <w:r>
        <w:rPr>
          <w:rFonts w:hint="eastAsia" w:ascii="仿宋_GB2312" w:hAnsi="宋体-18030" w:eastAsia="仿宋_GB2312" w:cs="宋体-18030"/>
          <w:color w:val="000000"/>
          <w:kern w:val="0"/>
          <w:sz w:val="32"/>
          <w:szCs w:val="32"/>
          <w:u w:val="none" w:color="000000"/>
          <w:lang w:eastAsia="zh-CN"/>
        </w:rPr>
        <w:t>阿坝州</w:t>
      </w:r>
      <w:r>
        <w:rPr>
          <w:rFonts w:hint="eastAsia" w:ascii="仿宋_GB2312" w:hAnsi="宋体-18030" w:eastAsia="仿宋_GB2312" w:cs="宋体-18030"/>
          <w:color w:val="000000"/>
          <w:kern w:val="0"/>
          <w:sz w:val="32"/>
          <w:szCs w:val="32"/>
          <w:u w:val="none" w:color="000000"/>
        </w:rPr>
        <w:t>供销社部门整体预算执行较好，推动全</w:t>
      </w:r>
      <w:r>
        <w:rPr>
          <w:rFonts w:hint="eastAsia" w:ascii="仿宋_GB2312" w:hAnsi="宋体-18030" w:eastAsia="仿宋_GB2312" w:cs="宋体-18030"/>
          <w:color w:val="000000"/>
          <w:kern w:val="0"/>
          <w:sz w:val="32"/>
          <w:szCs w:val="32"/>
          <w:u w:val="none" w:color="000000"/>
          <w:lang w:eastAsia="zh-CN"/>
        </w:rPr>
        <w:t>州</w:t>
      </w:r>
      <w:r>
        <w:rPr>
          <w:rFonts w:hint="eastAsia" w:ascii="仿宋_GB2312" w:hAnsi="宋体-18030" w:eastAsia="仿宋_GB2312" w:cs="宋体-18030"/>
          <w:color w:val="000000"/>
          <w:kern w:val="0"/>
          <w:sz w:val="32"/>
          <w:szCs w:val="32"/>
          <w:u w:val="none" w:color="000000"/>
        </w:rPr>
        <w:t>供销系统综合改革成效显著，取得了一定的社会效益。但在预算编制和执行、专项预算管理等方面，也存在一些有待改进的问题</w:t>
      </w:r>
      <w:r>
        <w:rPr>
          <w:rFonts w:hint="eastAsia" w:ascii="仿宋_GB2312" w:hAnsi="宋体-18030" w:eastAsia="仿宋_GB2312" w:cs="宋体-18030"/>
          <w:color w:val="000000"/>
          <w:kern w:val="0"/>
          <w:sz w:val="32"/>
          <w:szCs w:val="32"/>
          <w:u w:val="none" w:color="000000"/>
          <w:lang w:eastAsia="zh-CN"/>
        </w:rPr>
        <w:t>：</w:t>
      </w:r>
      <w:r>
        <w:rPr>
          <w:rFonts w:hint="eastAsia" w:ascii="仿宋_GB2312" w:hAnsi="宋体-18030" w:eastAsia="仿宋_GB2312" w:cs="宋体-18030"/>
          <w:color w:val="000000"/>
          <w:kern w:val="0"/>
          <w:sz w:val="32"/>
          <w:szCs w:val="32"/>
          <w:u w:val="none" w:color="000000"/>
          <w:lang w:val="en-US" w:eastAsia="zh-CN"/>
        </w:rPr>
        <w:t>1.由于存在人员变动等问题，导致人员经费往往需要增加预算资金。2.预算编制水平有待提高，预算测算依据不够充分，绩效目标设定不够科学合理。3.</w:t>
      </w:r>
      <w:r>
        <w:rPr>
          <w:rFonts w:hint="eastAsia" w:ascii="仿宋_GB2312" w:hAnsi="宋体-18030" w:eastAsia="仿宋_GB2312" w:cs="宋体-18030"/>
          <w:color w:val="000000"/>
          <w:kern w:val="0"/>
          <w:sz w:val="32"/>
          <w:szCs w:val="32"/>
          <w:u w:val="none" w:color="000000"/>
        </w:rPr>
        <w:t>内部控制制度建设基础比较薄弱，建设规划不够科学。</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ind w:firstLine="640" w:firstLineChars="200"/>
        <w:rPr>
          <w:rFonts w:hint="eastAsia" w:ascii="仿宋_GB2312" w:hAnsi="宋体-18030" w:eastAsia="仿宋_GB2312" w:cs="宋体-18030"/>
          <w:color w:val="000000"/>
          <w:kern w:val="0"/>
          <w:sz w:val="32"/>
          <w:szCs w:val="32"/>
          <w:u w:val="none" w:color="000000"/>
        </w:rPr>
      </w:pPr>
      <w:r>
        <w:rPr>
          <w:rFonts w:hint="eastAsia" w:ascii="仿宋_GB2312" w:hAnsi="宋体-18030" w:eastAsia="仿宋_GB2312" w:cs="宋体-18030"/>
          <w:color w:val="000000"/>
          <w:kern w:val="0"/>
          <w:sz w:val="32"/>
          <w:szCs w:val="32"/>
          <w:u w:val="none" w:color="000000"/>
        </w:rPr>
        <w:t>进一步完善内部管理制度，建立长效机制，提高资金使用绩效。加强绩效管理。在预算编制方面，严审各项目经费，对不细化、不具体化的项目不予批准。加强培训交流，提高业务水平。</w:t>
      </w:r>
    </w:p>
    <w:p>
      <w:pPr>
        <w:spacing w:line="580" w:lineRule="exact"/>
        <w:ind w:firstLine="640" w:firstLineChars="200"/>
        <w:rPr>
          <w:rFonts w:ascii="仿宋_GB2312" w:hAnsi="仿宋_GB2312" w:eastAsia="仿宋_GB2312" w:cs="仿宋_GB2312"/>
          <w:sz w:val="32"/>
          <w:szCs w:val="32"/>
        </w:rPr>
      </w:pP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600" w:lineRule="exact"/>
        <w:jc w:val="both"/>
        <w:outlineLvl w:val="0"/>
        <w:rPr>
          <w:rStyle w:val="29"/>
          <w:rFonts w:ascii="黑体" w:hAnsi="黑体" w:eastAsia="黑体"/>
          <w:b w:val="0"/>
        </w:rPr>
      </w:pPr>
    </w:p>
    <w:p>
      <w:pPr>
        <w:spacing w:line="600" w:lineRule="exact"/>
        <w:jc w:val="center"/>
        <w:outlineLvl w:val="0"/>
        <w:rPr>
          <w:rStyle w:val="29"/>
          <w:rFonts w:ascii="黑体" w:hAnsi="黑体" w:eastAsia="黑体"/>
          <w:b w:val="0"/>
        </w:rPr>
      </w:pPr>
      <w:bookmarkStart w:id="81" w:name="_Toc15396618"/>
      <w:bookmarkStart w:id="82" w:name="_Toc21032"/>
      <w:r>
        <w:rPr>
          <w:rFonts w:hint="eastAsia" w:ascii="黑体" w:hAnsi="黑体" w:eastAsia="黑体"/>
          <w:color w:val="000000"/>
          <w:sz w:val="44"/>
          <w:szCs w:val="44"/>
        </w:rPr>
        <w:t>第</w:t>
      </w:r>
      <w:r>
        <w:rPr>
          <w:rStyle w:val="29"/>
          <w:rFonts w:hint="eastAsia" w:ascii="黑体" w:hAnsi="黑体" w:eastAsia="黑体"/>
          <w:b w:val="0"/>
        </w:rPr>
        <w:t>五部分 附表</w:t>
      </w:r>
      <w:bookmarkEnd w:id="77"/>
      <w:bookmarkEnd w:id="81"/>
      <w:bookmarkEnd w:id="8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83" w:name="_Toc2900"/>
      <w:bookmarkStart w:id="84" w:name="_Toc15396619"/>
      <w:r>
        <w:rPr>
          <w:rFonts w:hint="eastAsia" w:ascii="仿宋" w:hAnsi="仿宋" w:eastAsia="仿宋"/>
          <w:b w:val="0"/>
          <w:color w:val="000000"/>
        </w:rPr>
        <w:t>一、收</w:t>
      </w:r>
      <w:r>
        <w:rPr>
          <w:rStyle w:val="30"/>
          <w:rFonts w:hint="eastAsia" w:ascii="仿宋" w:hAnsi="仿宋" w:eastAsia="仿宋"/>
          <w:b w:val="0"/>
          <w:bCs w:val="0"/>
        </w:rPr>
        <w:t>入支出决算总表</w:t>
      </w:r>
      <w:bookmarkEnd w:id="83"/>
      <w:bookmarkEnd w:id="84"/>
    </w:p>
    <w:p>
      <w:pPr>
        <w:pStyle w:val="3"/>
        <w:rPr>
          <w:rFonts w:ascii="仿宋" w:hAnsi="仿宋" w:eastAsia="仿宋"/>
          <w:color w:val="000000"/>
        </w:rPr>
      </w:pPr>
      <w:bookmarkStart w:id="85" w:name="_Toc15396620"/>
      <w:bookmarkStart w:id="86" w:name="_Toc23431"/>
      <w:r>
        <w:rPr>
          <w:rFonts w:hint="eastAsia" w:ascii="仿宋" w:hAnsi="仿宋" w:eastAsia="仿宋"/>
          <w:b w:val="0"/>
          <w:color w:val="000000"/>
        </w:rPr>
        <w:t>二、收</w:t>
      </w:r>
      <w:r>
        <w:rPr>
          <w:rStyle w:val="30"/>
          <w:rFonts w:hint="eastAsia" w:ascii="仿宋" w:hAnsi="仿宋" w:eastAsia="仿宋"/>
          <w:b w:val="0"/>
          <w:bCs w:val="0"/>
        </w:rPr>
        <w:t>入决算表</w:t>
      </w:r>
      <w:bookmarkEnd w:id="85"/>
      <w:bookmarkEnd w:id="86"/>
    </w:p>
    <w:p>
      <w:pPr>
        <w:pStyle w:val="3"/>
        <w:rPr>
          <w:rFonts w:ascii="仿宋" w:hAnsi="仿宋" w:eastAsia="仿宋"/>
          <w:color w:val="000000"/>
        </w:rPr>
      </w:pPr>
      <w:bookmarkStart w:id="87" w:name="_Toc15396621"/>
      <w:bookmarkStart w:id="88" w:name="_Toc21112"/>
      <w:r>
        <w:rPr>
          <w:rStyle w:val="30"/>
          <w:rFonts w:hint="eastAsia" w:ascii="仿宋" w:hAnsi="仿宋" w:eastAsia="仿宋"/>
          <w:b w:val="0"/>
          <w:bCs w:val="0"/>
        </w:rPr>
        <w:t>三、</w:t>
      </w:r>
      <w:r>
        <w:rPr>
          <w:rFonts w:hint="eastAsia" w:ascii="仿宋" w:hAnsi="仿宋" w:eastAsia="仿宋"/>
          <w:b w:val="0"/>
          <w:color w:val="000000"/>
        </w:rPr>
        <w:t>支</w:t>
      </w:r>
      <w:r>
        <w:rPr>
          <w:rStyle w:val="30"/>
          <w:rFonts w:hint="eastAsia" w:ascii="仿宋" w:hAnsi="仿宋" w:eastAsia="仿宋"/>
          <w:b w:val="0"/>
          <w:bCs w:val="0"/>
        </w:rPr>
        <w:t>出决算表</w:t>
      </w:r>
      <w:bookmarkEnd w:id="87"/>
      <w:bookmarkEnd w:id="88"/>
    </w:p>
    <w:p>
      <w:pPr>
        <w:pStyle w:val="3"/>
        <w:rPr>
          <w:rFonts w:ascii="仿宋" w:hAnsi="仿宋" w:eastAsia="仿宋"/>
          <w:b w:val="0"/>
          <w:color w:val="000000"/>
        </w:rPr>
      </w:pPr>
      <w:bookmarkStart w:id="89" w:name="_Toc15396622"/>
      <w:bookmarkStart w:id="90" w:name="_Toc26357"/>
      <w:r>
        <w:rPr>
          <w:rStyle w:val="30"/>
          <w:rFonts w:hint="eastAsia" w:ascii="仿宋" w:hAnsi="仿宋" w:eastAsia="仿宋"/>
          <w:b w:val="0"/>
          <w:bCs w:val="0"/>
        </w:rPr>
        <w:t>四、</w:t>
      </w:r>
      <w:r>
        <w:rPr>
          <w:rFonts w:hint="eastAsia" w:ascii="仿宋" w:hAnsi="仿宋" w:eastAsia="仿宋"/>
          <w:b w:val="0"/>
          <w:color w:val="000000"/>
        </w:rPr>
        <w:t>财</w:t>
      </w:r>
      <w:r>
        <w:rPr>
          <w:rStyle w:val="30"/>
          <w:rFonts w:hint="eastAsia" w:ascii="仿宋" w:hAnsi="仿宋" w:eastAsia="仿宋"/>
          <w:b w:val="0"/>
          <w:bCs w:val="0"/>
        </w:rPr>
        <w:t>政拨款收入支出决算总表</w:t>
      </w:r>
      <w:bookmarkEnd w:id="89"/>
      <w:bookmarkEnd w:id="90"/>
    </w:p>
    <w:p>
      <w:pPr>
        <w:pStyle w:val="3"/>
        <w:rPr>
          <w:rStyle w:val="30"/>
          <w:rFonts w:ascii="仿宋" w:hAnsi="仿宋" w:eastAsia="仿宋"/>
          <w:b w:val="0"/>
          <w:bCs w:val="0"/>
        </w:rPr>
      </w:pPr>
      <w:bookmarkStart w:id="91" w:name="_Toc15396623"/>
      <w:bookmarkStart w:id="92" w:name="_Toc28100"/>
      <w:r>
        <w:rPr>
          <w:rStyle w:val="30"/>
          <w:rFonts w:hint="eastAsia" w:ascii="仿宋" w:hAnsi="仿宋" w:eastAsia="仿宋"/>
          <w:b w:val="0"/>
          <w:bCs w:val="0"/>
        </w:rPr>
        <w:t>五、</w:t>
      </w:r>
      <w:r>
        <w:rPr>
          <w:rFonts w:hint="eastAsia" w:ascii="仿宋" w:hAnsi="仿宋" w:eastAsia="仿宋"/>
          <w:b w:val="0"/>
          <w:color w:val="000000"/>
        </w:rPr>
        <w:t>财</w:t>
      </w:r>
      <w:r>
        <w:rPr>
          <w:rStyle w:val="30"/>
          <w:rFonts w:hint="eastAsia" w:ascii="仿宋" w:hAnsi="仿宋" w:eastAsia="仿宋"/>
          <w:b w:val="0"/>
          <w:bCs w:val="0"/>
        </w:rPr>
        <w:t>政拨款支出决算明细表</w:t>
      </w:r>
      <w:bookmarkEnd w:id="91"/>
      <w:bookmarkEnd w:id="92"/>
      <w:bookmarkStart w:id="93" w:name="_Toc15396624"/>
    </w:p>
    <w:p>
      <w:pPr>
        <w:pStyle w:val="3"/>
        <w:rPr>
          <w:rFonts w:ascii="仿宋" w:hAnsi="仿宋" w:eastAsia="仿宋"/>
          <w:color w:val="000000"/>
        </w:rPr>
      </w:pPr>
      <w:bookmarkStart w:id="94" w:name="_Toc15351"/>
      <w:r>
        <w:rPr>
          <w:rStyle w:val="30"/>
          <w:rFonts w:hint="eastAsia" w:ascii="仿宋" w:hAnsi="仿宋" w:eastAsia="仿宋"/>
          <w:b w:val="0"/>
          <w:bCs w:val="0"/>
        </w:rPr>
        <w:t>六、</w:t>
      </w:r>
      <w:r>
        <w:rPr>
          <w:rFonts w:hint="eastAsia" w:ascii="仿宋" w:hAnsi="仿宋" w:eastAsia="仿宋"/>
          <w:b w:val="0"/>
          <w:color w:val="000000"/>
        </w:rPr>
        <w:t>一</w:t>
      </w:r>
      <w:r>
        <w:rPr>
          <w:rStyle w:val="30"/>
          <w:rFonts w:hint="eastAsia" w:ascii="仿宋" w:hAnsi="仿宋" w:eastAsia="仿宋"/>
          <w:b w:val="0"/>
          <w:bCs w:val="0"/>
        </w:rPr>
        <w:t>般公共预算财政拨款支出决算表</w:t>
      </w:r>
      <w:bookmarkEnd w:id="93"/>
      <w:bookmarkEnd w:id="94"/>
    </w:p>
    <w:p>
      <w:pPr>
        <w:pStyle w:val="3"/>
        <w:rPr>
          <w:rFonts w:ascii="仿宋" w:hAnsi="仿宋" w:eastAsia="仿宋"/>
          <w:color w:val="000000"/>
        </w:rPr>
      </w:pPr>
      <w:bookmarkStart w:id="95" w:name="_Toc15396625"/>
      <w:bookmarkStart w:id="96" w:name="_Toc23338"/>
      <w:r>
        <w:rPr>
          <w:rStyle w:val="30"/>
          <w:rFonts w:hint="eastAsia" w:ascii="仿宋" w:hAnsi="仿宋" w:eastAsia="仿宋"/>
          <w:b w:val="0"/>
          <w:bCs w:val="0"/>
        </w:rPr>
        <w:t>七、</w:t>
      </w:r>
      <w:r>
        <w:rPr>
          <w:rFonts w:hint="eastAsia" w:ascii="仿宋" w:hAnsi="仿宋" w:eastAsia="仿宋"/>
          <w:b w:val="0"/>
          <w:color w:val="000000"/>
        </w:rPr>
        <w:t>一</w:t>
      </w:r>
      <w:r>
        <w:rPr>
          <w:rStyle w:val="30"/>
          <w:rFonts w:hint="eastAsia" w:ascii="仿宋" w:hAnsi="仿宋" w:eastAsia="仿宋"/>
          <w:b w:val="0"/>
          <w:bCs w:val="0"/>
        </w:rPr>
        <w:t>般公共预算财政拨款支出决算明细表</w:t>
      </w:r>
      <w:bookmarkEnd w:id="95"/>
      <w:bookmarkEnd w:id="96"/>
    </w:p>
    <w:p>
      <w:pPr>
        <w:pStyle w:val="3"/>
        <w:rPr>
          <w:rFonts w:ascii="仿宋" w:hAnsi="仿宋" w:eastAsia="仿宋"/>
          <w:color w:val="000000"/>
        </w:rPr>
      </w:pPr>
      <w:bookmarkStart w:id="97" w:name="_Toc15396626"/>
      <w:bookmarkStart w:id="98" w:name="_Toc2840"/>
      <w:r>
        <w:rPr>
          <w:rStyle w:val="30"/>
          <w:rFonts w:hint="eastAsia" w:ascii="仿宋" w:hAnsi="仿宋" w:eastAsia="仿宋"/>
          <w:b w:val="0"/>
          <w:bCs w:val="0"/>
        </w:rPr>
        <w:t>八、</w:t>
      </w:r>
      <w:r>
        <w:rPr>
          <w:rFonts w:hint="eastAsia" w:ascii="仿宋" w:hAnsi="仿宋" w:eastAsia="仿宋"/>
          <w:b w:val="0"/>
          <w:color w:val="000000"/>
        </w:rPr>
        <w:t>一</w:t>
      </w:r>
      <w:r>
        <w:rPr>
          <w:rStyle w:val="30"/>
          <w:rFonts w:hint="eastAsia" w:ascii="仿宋" w:hAnsi="仿宋" w:eastAsia="仿宋"/>
          <w:b w:val="0"/>
          <w:bCs w:val="0"/>
        </w:rPr>
        <w:t>般公共预算财政拨款基本支出决算表</w:t>
      </w:r>
      <w:bookmarkEnd w:id="97"/>
      <w:bookmarkEnd w:id="98"/>
    </w:p>
    <w:p>
      <w:pPr>
        <w:pStyle w:val="3"/>
        <w:rPr>
          <w:rFonts w:ascii="仿宋" w:hAnsi="仿宋" w:eastAsia="仿宋"/>
          <w:color w:val="000000"/>
        </w:rPr>
      </w:pPr>
      <w:bookmarkStart w:id="99" w:name="_Toc4588"/>
      <w:bookmarkStart w:id="100" w:name="_Toc15396627"/>
      <w:r>
        <w:rPr>
          <w:rStyle w:val="30"/>
          <w:rFonts w:hint="eastAsia" w:ascii="仿宋" w:hAnsi="仿宋" w:eastAsia="仿宋"/>
          <w:b w:val="0"/>
          <w:bCs w:val="0"/>
        </w:rPr>
        <w:t>九、</w:t>
      </w:r>
      <w:r>
        <w:rPr>
          <w:rFonts w:hint="eastAsia" w:ascii="仿宋" w:hAnsi="仿宋" w:eastAsia="仿宋"/>
          <w:b w:val="0"/>
          <w:color w:val="000000"/>
        </w:rPr>
        <w:t>一</w:t>
      </w:r>
      <w:r>
        <w:rPr>
          <w:rStyle w:val="30"/>
          <w:rFonts w:hint="eastAsia" w:ascii="仿宋" w:hAnsi="仿宋" w:eastAsia="仿宋"/>
          <w:b w:val="0"/>
          <w:bCs w:val="0"/>
        </w:rPr>
        <w:t>般公共预算财政拨款项目支出决算表</w:t>
      </w:r>
      <w:bookmarkEnd w:id="99"/>
      <w:bookmarkEnd w:id="100"/>
    </w:p>
    <w:p>
      <w:pPr>
        <w:pStyle w:val="3"/>
        <w:rPr>
          <w:rFonts w:ascii="仿宋" w:hAnsi="仿宋" w:eastAsia="仿宋"/>
          <w:color w:val="000000"/>
        </w:rPr>
      </w:pPr>
      <w:bookmarkStart w:id="101" w:name="_Toc15367"/>
      <w:bookmarkStart w:id="102" w:name="_Toc15396628"/>
      <w:r>
        <w:rPr>
          <w:rStyle w:val="30"/>
          <w:rFonts w:hint="eastAsia" w:ascii="仿宋" w:hAnsi="仿宋" w:eastAsia="仿宋"/>
          <w:b w:val="0"/>
          <w:bCs w:val="0"/>
        </w:rPr>
        <w:t>十、</w:t>
      </w:r>
      <w:r>
        <w:rPr>
          <w:rFonts w:hint="eastAsia" w:ascii="仿宋" w:hAnsi="仿宋" w:eastAsia="仿宋"/>
          <w:b w:val="0"/>
          <w:color w:val="000000"/>
        </w:rPr>
        <w:t>一</w:t>
      </w:r>
      <w:r>
        <w:rPr>
          <w:rStyle w:val="30"/>
          <w:rFonts w:hint="eastAsia" w:ascii="仿宋" w:hAnsi="仿宋" w:eastAsia="仿宋"/>
          <w:b w:val="0"/>
          <w:bCs w:val="0"/>
        </w:rPr>
        <w:t>般公共预算财政拨款“三公”经费支出决算表</w:t>
      </w:r>
      <w:bookmarkEnd w:id="101"/>
      <w:bookmarkEnd w:id="102"/>
    </w:p>
    <w:p>
      <w:pPr>
        <w:pStyle w:val="3"/>
        <w:rPr>
          <w:rFonts w:ascii="仿宋" w:hAnsi="仿宋" w:eastAsia="仿宋"/>
          <w:color w:val="000000"/>
        </w:rPr>
      </w:pPr>
      <w:bookmarkStart w:id="103" w:name="_Toc15396629"/>
      <w:bookmarkStart w:id="104" w:name="_Toc15012"/>
      <w:r>
        <w:rPr>
          <w:rStyle w:val="30"/>
          <w:rFonts w:hint="eastAsia" w:ascii="仿宋" w:hAnsi="仿宋" w:eastAsia="仿宋"/>
          <w:b w:val="0"/>
          <w:bCs w:val="0"/>
        </w:rPr>
        <w:t>十一、</w:t>
      </w:r>
      <w:r>
        <w:rPr>
          <w:rFonts w:hint="eastAsia" w:ascii="仿宋" w:hAnsi="仿宋" w:eastAsia="仿宋"/>
          <w:b w:val="0"/>
          <w:color w:val="000000"/>
        </w:rPr>
        <w:t>政</w:t>
      </w:r>
      <w:r>
        <w:rPr>
          <w:rStyle w:val="30"/>
          <w:rFonts w:hint="eastAsia" w:ascii="仿宋" w:hAnsi="仿宋" w:eastAsia="仿宋"/>
          <w:b w:val="0"/>
          <w:bCs w:val="0"/>
        </w:rPr>
        <w:t>府性基金预算财政拨款收入支出决算表</w:t>
      </w:r>
      <w:bookmarkEnd w:id="103"/>
      <w:bookmarkEnd w:id="104"/>
    </w:p>
    <w:p>
      <w:pPr>
        <w:pStyle w:val="3"/>
        <w:rPr>
          <w:rFonts w:ascii="仿宋" w:hAnsi="仿宋" w:eastAsia="仿宋"/>
          <w:color w:val="000000"/>
        </w:rPr>
      </w:pPr>
      <w:bookmarkStart w:id="105" w:name="_Toc15396630"/>
      <w:bookmarkStart w:id="106" w:name="_Toc24054"/>
      <w:r>
        <w:rPr>
          <w:rStyle w:val="30"/>
          <w:rFonts w:hint="eastAsia" w:ascii="仿宋" w:hAnsi="仿宋" w:eastAsia="仿宋"/>
          <w:b w:val="0"/>
          <w:bCs w:val="0"/>
        </w:rPr>
        <w:t>十二、</w:t>
      </w:r>
      <w:r>
        <w:rPr>
          <w:rFonts w:hint="eastAsia" w:ascii="仿宋" w:hAnsi="仿宋" w:eastAsia="仿宋"/>
          <w:b w:val="0"/>
          <w:color w:val="000000"/>
        </w:rPr>
        <w:t>政</w:t>
      </w:r>
      <w:r>
        <w:rPr>
          <w:rStyle w:val="30"/>
          <w:rFonts w:hint="eastAsia" w:ascii="仿宋" w:hAnsi="仿宋" w:eastAsia="仿宋"/>
          <w:b w:val="0"/>
          <w:bCs w:val="0"/>
        </w:rPr>
        <w:t>府性基金预算财政拨款“三公”经费支出决算表</w:t>
      </w:r>
      <w:bookmarkEnd w:id="105"/>
      <w:bookmarkEnd w:id="106"/>
    </w:p>
    <w:p>
      <w:pPr>
        <w:pStyle w:val="3"/>
        <w:rPr>
          <w:rFonts w:ascii="仿宋" w:hAnsi="仿宋" w:eastAsia="仿宋"/>
          <w:color w:val="000000" w:themeColor="text1"/>
          <w14:textFill>
            <w14:solidFill>
              <w14:schemeClr w14:val="tx1"/>
            </w14:solidFill>
          </w14:textFill>
        </w:rPr>
      </w:pPr>
      <w:bookmarkStart w:id="107" w:name="_Toc15396631"/>
      <w:bookmarkStart w:id="108" w:name="_Toc5299"/>
      <w:r>
        <w:rPr>
          <w:rStyle w:val="30"/>
          <w:rFonts w:hint="eastAsia" w:ascii="仿宋" w:hAnsi="仿宋" w:eastAsia="仿宋"/>
          <w:b w:val="0"/>
          <w:bCs w:val="0"/>
        </w:rPr>
        <w:t>十三、</w:t>
      </w:r>
      <w:r>
        <w:rPr>
          <w:rFonts w:hint="eastAsia" w:ascii="仿宋" w:hAnsi="仿宋" w:eastAsia="仿宋"/>
          <w:b w:val="0"/>
          <w:color w:val="000000"/>
        </w:rPr>
        <w:t>国</w:t>
      </w:r>
      <w:r>
        <w:rPr>
          <w:rStyle w:val="30"/>
          <w:rFonts w:hint="eastAsia" w:ascii="仿宋" w:hAnsi="仿宋" w:eastAsia="仿宋"/>
          <w:b w:val="0"/>
          <w:bCs w:val="0"/>
        </w:rPr>
        <w:t>有资本经营预算支出决算表</w:t>
      </w:r>
      <w:bookmarkEnd w:id="107"/>
      <w:bookmarkEnd w:id="108"/>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FDEF132"/>
    <w:multiLevelType w:val="singleLevel"/>
    <w:tmpl w:val="1FDEF132"/>
    <w:lvl w:ilvl="0" w:tentative="0">
      <w:start w:val="1"/>
      <w:numFmt w:val="chineseCounting"/>
      <w:suff w:val="nothing"/>
      <w:lvlText w:val="%1、"/>
      <w:lvlJc w:val="left"/>
      <w:rPr>
        <w:rFonts w:hint="eastAsia"/>
      </w:rPr>
    </w:lvl>
  </w:abstractNum>
  <w:abstractNum w:abstractNumId="4">
    <w:nsid w:val="4FB1D4A1"/>
    <w:multiLevelType w:val="singleLevel"/>
    <w:tmpl w:val="4FB1D4A1"/>
    <w:lvl w:ilvl="0" w:tentative="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C59E0"/>
    <w:rsid w:val="0D9731A6"/>
    <w:rsid w:val="10C055FF"/>
    <w:rsid w:val="16BB723D"/>
    <w:rsid w:val="20A430A3"/>
    <w:rsid w:val="240371BF"/>
    <w:rsid w:val="29FD04D3"/>
    <w:rsid w:val="2B947261"/>
    <w:rsid w:val="319F7F4E"/>
    <w:rsid w:val="370E05A5"/>
    <w:rsid w:val="4ECE2238"/>
    <w:rsid w:val="58D50A36"/>
    <w:rsid w:val="5DC668F3"/>
    <w:rsid w:val="5EFD1C49"/>
    <w:rsid w:val="5FA33C22"/>
    <w:rsid w:val="64F205DB"/>
    <w:rsid w:val="6D7A2576"/>
    <w:rsid w:val="72734D90"/>
    <w:rsid w:val="7C6C6B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32"/>
    <w:unhideWhenUsed/>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TML Definition"/>
    <w:basedOn w:val="14"/>
    <w:unhideWhenUsed/>
    <w:qFormat/>
    <w:uiPriority w:val="99"/>
  </w:style>
  <w:style w:type="character" w:styleId="17">
    <w:name w:val="HTML Variable"/>
    <w:basedOn w:val="14"/>
    <w:unhideWhenUsed/>
    <w:qFormat/>
    <w:uiPriority w:val="99"/>
  </w:style>
  <w:style w:type="character" w:styleId="18">
    <w:name w:val="Hyperlink"/>
    <w:basedOn w:val="14"/>
    <w:unhideWhenUsed/>
    <w:qFormat/>
    <w:uiPriority w:val="99"/>
    <w:rPr>
      <w:color w:val="0000FF" w:themeColor="hyperlink"/>
      <w:u w:val="single"/>
      <w14:textFill>
        <w14:solidFill>
          <w14:schemeClr w14:val="hlink"/>
        </w14:solidFill>
      </w14:textFill>
    </w:rPr>
  </w:style>
  <w:style w:type="character" w:styleId="19">
    <w:name w:val="HTML Code"/>
    <w:basedOn w:val="14"/>
    <w:unhideWhenUsed/>
    <w:qFormat/>
    <w:uiPriority w:val="99"/>
    <w:rPr>
      <w:rFonts w:ascii="Courier New" w:hAnsi="Courier New"/>
      <w:sz w:val="20"/>
    </w:rPr>
  </w:style>
  <w:style w:type="character" w:styleId="20">
    <w:name w:val="HTML Cite"/>
    <w:basedOn w:val="14"/>
    <w:unhideWhenUsed/>
    <w:qFormat/>
    <w:uiPriority w:val="99"/>
  </w:style>
  <w:style w:type="character" w:customStyle="1" w:styleId="21">
    <w:name w:val="Header Char"/>
    <w:basedOn w:val="14"/>
    <w:semiHidden/>
    <w:qFormat/>
    <w:uiPriority w:val="99"/>
    <w:rPr>
      <w:rFonts w:ascii="Times New Roman" w:hAnsi="Times New Roman"/>
      <w:sz w:val="18"/>
      <w:szCs w:val="18"/>
    </w:rPr>
  </w:style>
  <w:style w:type="character" w:customStyle="1" w:styleId="22">
    <w:name w:val="页眉 字符"/>
    <w:link w:val="9"/>
    <w:semiHidden/>
    <w:qFormat/>
    <w:locked/>
    <w:uiPriority w:val="99"/>
    <w:rPr>
      <w:sz w:val="18"/>
    </w:rPr>
  </w:style>
  <w:style w:type="character" w:customStyle="1" w:styleId="23">
    <w:name w:val="Footer Char"/>
    <w:basedOn w:val="14"/>
    <w:semiHidden/>
    <w:qFormat/>
    <w:uiPriority w:val="99"/>
    <w:rPr>
      <w:rFonts w:ascii="Times New Roman" w:hAnsi="Times New Roman"/>
      <w:sz w:val="18"/>
      <w:szCs w:val="18"/>
    </w:rPr>
  </w:style>
  <w:style w:type="character" w:customStyle="1" w:styleId="24">
    <w:name w:val="页脚 字符"/>
    <w:link w:val="8"/>
    <w:qFormat/>
    <w:locked/>
    <w:uiPriority w:val="99"/>
    <w:rPr>
      <w:sz w:val="18"/>
    </w:rPr>
  </w:style>
  <w:style w:type="character" w:customStyle="1" w:styleId="25">
    <w:name w:val="Body Text Char"/>
    <w:basedOn w:val="14"/>
    <w:semiHidden/>
    <w:qFormat/>
    <w:uiPriority w:val="99"/>
    <w:rPr>
      <w:rFonts w:ascii="Times New Roman" w:hAnsi="Times New Roman"/>
      <w:szCs w:val="24"/>
    </w:rPr>
  </w:style>
  <w:style w:type="character" w:customStyle="1" w:styleId="26">
    <w:name w:val="正文文本 字符"/>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8">
    <w:name w:val="List Paragraph"/>
    <w:basedOn w:val="1"/>
    <w:qFormat/>
    <w:uiPriority w:val="34"/>
    <w:pPr>
      <w:ind w:firstLine="420" w:firstLineChars="200"/>
    </w:pPr>
  </w:style>
  <w:style w:type="character" w:customStyle="1" w:styleId="29">
    <w:name w:val="标题 1 字符"/>
    <w:basedOn w:val="14"/>
    <w:link w:val="2"/>
    <w:qFormat/>
    <w:uiPriority w:val="9"/>
    <w:rPr>
      <w:rFonts w:ascii="Times New Roman" w:hAnsi="Times New Roman"/>
      <w:b/>
      <w:bCs/>
      <w:kern w:val="44"/>
      <w:sz w:val="44"/>
      <w:szCs w:val="44"/>
    </w:rPr>
  </w:style>
  <w:style w:type="character" w:customStyle="1" w:styleId="30">
    <w:name w:val="标题 2 字符"/>
    <w:basedOn w:val="14"/>
    <w:link w:val="3"/>
    <w:qFormat/>
    <w:uiPriority w:val="9"/>
    <w:rPr>
      <w:rFonts w:asciiTheme="majorHAnsi" w:hAnsiTheme="majorHAnsi" w:eastAsiaTheme="majorEastAsia" w:cstheme="majorBidi"/>
      <w:b/>
      <w:bCs/>
      <w:kern w:val="2"/>
      <w:sz w:val="32"/>
      <w:szCs w:val="32"/>
    </w:rPr>
  </w:style>
  <w:style w:type="paragraph" w:customStyle="1" w:styleId="3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4"/>
    <w:link w:val="7"/>
    <w:semiHidden/>
    <w:qFormat/>
    <w:uiPriority w:val="99"/>
    <w:rPr>
      <w:rFonts w:ascii="Times New Roman" w:hAnsi="Times New Roman"/>
      <w:kern w:val="2"/>
      <w:sz w:val="18"/>
      <w:szCs w:val="18"/>
    </w:rPr>
  </w:style>
  <w:style w:type="character" w:customStyle="1" w:styleId="33">
    <w:name w:val="标题 3 字符"/>
    <w:basedOn w:val="14"/>
    <w:link w:val="4"/>
    <w:qFormat/>
    <w:uiPriority w:val="9"/>
    <w:rPr>
      <w:rFonts w:ascii="Times New Roman" w:hAnsi="Times New Roman"/>
      <w:b/>
      <w:bCs/>
      <w:kern w:val="2"/>
      <w:sz w:val="32"/>
      <w:szCs w:val="32"/>
    </w:rPr>
  </w:style>
  <w:style w:type="paragraph" w:customStyle="1" w:styleId="34">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正文 New New New New New New New New New New New New New New New New New New New New New New New New New New New New New New New New New New New New New New New New New New New New New New New New New New New New New New New New New New"/>
    <w:basedOn w:val="1"/>
    <w:qFormat/>
    <w:uiPriority w:val="0"/>
    <w:rPr>
      <w:rFonts w:ascii="Calibri" w:hAnsi="Calibri"/>
      <w:szCs w:val="21"/>
    </w:rPr>
  </w:style>
  <w:style w:type="character" w:customStyle="1" w:styleId="36">
    <w:name w:val="image"/>
    <w:basedOn w:val="14"/>
    <w:qFormat/>
    <w:uiPriority w:val="0"/>
  </w:style>
  <w:style w:type="character" w:customStyle="1" w:styleId="37">
    <w:name w:val="image1"/>
    <w:basedOn w:val="14"/>
    <w:qFormat/>
    <w:uiPriority w:val="0"/>
  </w:style>
  <w:style w:type="character" w:customStyle="1" w:styleId="38">
    <w:name w:val="image2"/>
    <w:basedOn w:val="14"/>
    <w:qFormat/>
    <w:uiPriority w:val="0"/>
  </w:style>
  <w:style w:type="character" w:customStyle="1" w:styleId="39">
    <w:name w:val="ui-state-hover20"/>
    <w:basedOn w:val="14"/>
    <w:qFormat/>
    <w:uiPriority w:val="0"/>
  </w:style>
  <w:style w:type="character" w:customStyle="1" w:styleId="40">
    <w:name w:val="group"/>
    <w:basedOn w:val="14"/>
    <w:qFormat/>
    <w:uiPriority w:val="0"/>
  </w:style>
  <w:style w:type="character" w:customStyle="1" w:styleId="41">
    <w:name w:val="clicked1"/>
    <w:basedOn w:val="14"/>
    <w:qFormat/>
    <w:uiPriority w:val="0"/>
  </w:style>
  <w:style w:type="character" w:customStyle="1" w:styleId="42">
    <w:name w:val="clicked2"/>
    <w:basedOn w:val="14"/>
    <w:qFormat/>
    <w:uiPriority w:val="0"/>
    <w:rPr>
      <w:color w:val="000000"/>
    </w:rPr>
  </w:style>
  <w:style w:type="character" w:customStyle="1" w:styleId="43">
    <w:name w:val="clicked3"/>
    <w:basedOn w:val="14"/>
    <w:qFormat/>
    <w:uiPriority w:val="0"/>
  </w:style>
  <w:style w:type="character" w:customStyle="1" w:styleId="44">
    <w:name w:val="button-hover"/>
    <w:basedOn w:val="14"/>
    <w:qFormat/>
    <w:uiPriority w:val="0"/>
  </w:style>
  <w:style w:type="character" w:customStyle="1" w:styleId="45">
    <w:name w:val="button-hover1"/>
    <w:basedOn w:val="14"/>
    <w:qFormat/>
    <w:uiPriority w:val="0"/>
  </w:style>
  <w:style w:type="character" w:customStyle="1" w:styleId="46">
    <w:name w:val="ui-state-default12"/>
    <w:basedOn w:val="14"/>
    <w:qFormat/>
    <w:uiPriority w:val="0"/>
  </w:style>
  <w:style w:type="character" w:customStyle="1" w:styleId="47">
    <w:name w:val="ui-state-default13"/>
    <w:basedOn w:val="14"/>
    <w:qFormat/>
    <w:uiPriority w:val="0"/>
  </w:style>
  <w:style w:type="character" w:customStyle="1" w:styleId="48">
    <w:name w:val="item-middle"/>
    <w:basedOn w:val="14"/>
    <w:qFormat/>
    <w:uiPriority w:val="0"/>
  </w:style>
  <w:style w:type="character" w:customStyle="1" w:styleId="49">
    <w:name w:val="directchildrenspan"/>
    <w:basedOn w:val="14"/>
    <w:qFormat/>
    <w:uiPriority w:val="0"/>
  </w:style>
  <w:style w:type="character" w:customStyle="1" w:styleId="50">
    <w:name w:val="ui-state-active6"/>
    <w:basedOn w:val="14"/>
    <w:qFormat/>
    <w:uiPriority w:val="0"/>
  </w:style>
  <w:style w:type="character" w:customStyle="1" w:styleId="51">
    <w:name w:val="imgspan"/>
    <w:basedOn w:val="14"/>
    <w:qFormat/>
    <w:uiPriority w:val="0"/>
  </w:style>
  <w:style w:type="character" w:customStyle="1" w:styleId="52">
    <w:name w:val="ui-icon33"/>
    <w:basedOn w:val="14"/>
    <w:qFormat/>
    <w:uiPriority w:val="0"/>
  </w:style>
  <w:style w:type="character" w:customStyle="1" w:styleId="53">
    <w:name w:val="newstitle"/>
    <w:basedOn w:val="14"/>
    <w:qFormat/>
    <w:uiPriority w:val="0"/>
    <w:rPr>
      <w:b/>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746889181672"/>
          <c:y val="0.00651465798045603"/>
          <c:w val="0.804655248133509"/>
          <c:h val="0.622193268186753"/>
        </c:manualLayout>
      </c:layout>
      <c:barChart>
        <c:barDir val="col"/>
        <c:grouping val="clustered"/>
        <c:varyColors val="0"/>
        <c:ser>
          <c:idx val="0"/>
          <c:order val="0"/>
          <c:tx>
            <c:strRef>
              <c:extLst>
                <c:ext xmlns:c15="http://schemas.microsoft.com/office/drawing/2012/chart" uri="{02D57815-91ED-43cb-92C2-25804820EDAC}">
                  <c15:fullRef>
                    <c15:sqref>Sheet1!$B$1</c15:sqref>
                  </c15:fullRef>
                  <c15:levelRef>
                    <c15:sqref>Sheet1!$B$1</c15:sqref>
                  </c15:levelRef>
                </c:ext>
              </c:extLst>
              <c:f>Sheet1!$B$1</c:f>
              <c:strCache>
                <c:ptCount val="1"/>
                <c:pt idx="0">
                  <c:v>2018年</c:v>
                </c:pt>
              </c:strCache>
            </c:strRef>
          </c:tx>
          <c:spPr>
            <a:solidFill>
              <a:schemeClr val="accent1"/>
            </a:solidFill>
            <a:ln>
              <a:noFill/>
            </a:ln>
            <a:effectLst/>
          </c:spPr>
          <c:invertIfNegative val="0"/>
          <c:dLbls>
            <c:delete val="1"/>
          </c:dLbls>
          <c:cat>
            <c:strRef>
              <c:extLst>
                <c:ext xmlns:c15="http://schemas.microsoft.com/office/drawing/2012/chart" uri="{02D57815-91ED-43cb-92C2-25804820EDAC}">
                  <c15:fullRef>
                    <c15:sqref>Sheet1!$A$2:$A$3</c15:sqref>
                  </c15:fullRef>
                  <c15:levelRef>
                    <c15:sqref>Sheet1!$A$2</c15:sqref>
                  </c15:levelRef>
                </c:ext>
              </c:extLst>
              <c:f>Sheet1!$A$2</c:f>
              <c:strCache>
                <c:ptCount val="2"/>
                <c:pt idx="0">
                  <c:v>收入</c:v>
                </c:pt>
                <c:pt idx="1">
                  <c:v>支出</c:v>
                </c:pt>
              </c:strCache>
            </c:strRef>
          </c:cat>
          <c:val>
            <c:numRef>
              <c:f>Sheet1!$B$2:$B$3</c:f>
              <c:numCache>
                <c:formatCode>General</c:formatCode>
                <c:ptCount val="2"/>
                <c:pt idx="0">
                  <c:v>504.24</c:v>
                </c:pt>
                <c:pt idx="1">
                  <c:v>508.17</c:v>
                </c:pt>
              </c:numCache>
            </c:numRef>
          </c:val>
        </c:ser>
        <c:ser>
          <c:idx val="1"/>
          <c:order val="1"/>
          <c:tx>
            <c:strRef>
              <c:extLst>
                <c:ext xmlns:c15="http://schemas.microsoft.com/office/drawing/2012/chart" uri="{02D57815-91ED-43cb-92C2-25804820EDAC}">
                  <c15:fullRef>
                    <c15:sqref>Sheet1!$C$1</c15:sqref>
                  </c15:fullRef>
                  <c15:levelRef>
                    <c15:sqref>Sheet1!$C$1</c15:sqref>
                  </c15:levelRef>
                </c:ext>
              </c:extLst>
              <c:f>Sheet1!$C$1</c:f>
              <c:strCache>
                <c:ptCount val="1"/>
                <c:pt idx="0">
                  <c:v>2019年</c:v>
                </c:pt>
              </c:strCache>
            </c:strRef>
          </c:tx>
          <c:spPr>
            <a:solidFill>
              <a:schemeClr val="accent2"/>
            </a:solidFill>
            <a:ln>
              <a:noFill/>
            </a:ln>
            <a:effectLst/>
          </c:spPr>
          <c:invertIfNegative val="0"/>
          <c:dLbls>
            <c:delete val="1"/>
          </c:dLbls>
          <c:cat>
            <c:strRef>
              <c:extLst>
                <c:ext xmlns:c15="http://schemas.microsoft.com/office/drawing/2012/chart" uri="{02D57815-91ED-43cb-92C2-25804820EDAC}">
                  <c15:fullRef>
                    <c15:sqref>Sheet1!$A$2:$A$3</c15:sqref>
                  </c15:fullRef>
                  <c15:levelRef>
                    <c15:sqref>Sheet1!$A$2</c15:sqref>
                  </c15:levelRef>
                </c:ext>
              </c:extLst>
              <c:f>Sheet1!$A$2</c:f>
              <c:strCache>
                <c:ptCount val="2"/>
                <c:pt idx="0">
                  <c:v>收入</c:v>
                </c:pt>
                <c:pt idx="1">
                  <c:v>支出</c:v>
                </c:pt>
              </c:strCache>
            </c:strRef>
          </c:cat>
          <c:val>
            <c:numRef>
              <c:f>Sheet1!$C$2:$C$3</c:f>
              <c:numCache>
                <c:formatCode>General</c:formatCode>
                <c:ptCount val="2"/>
                <c:pt idx="0">
                  <c:v>385.45</c:v>
                </c:pt>
                <c:pt idx="1">
                  <c:v>490.89</c:v>
                </c:pt>
              </c:numCache>
            </c:numRef>
          </c:val>
        </c:ser>
        <c:dLbls>
          <c:showLegendKey val="0"/>
          <c:showVal val="0"/>
          <c:showCatName val="0"/>
          <c:showSerName val="0"/>
          <c:showPercent val="0"/>
          <c:showBubbleSize val="0"/>
        </c:dLbls>
        <c:gapWidth val="219"/>
        <c:overlap val="-27"/>
        <c:axId val="742851969"/>
        <c:axId val="670251228"/>
      </c:barChart>
      <c:catAx>
        <c:axId val="74285196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0251228"/>
        <c:crosses val="autoZero"/>
        <c:auto val="1"/>
        <c:lblAlgn val="ctr"/>
        <c:lblOffset val="100"/>
        <c:noMultiLvlLbl val="0"/>
      </c:catAx>
      <c:valAx>
        <c:axId val="6702512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285196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681883024251"/>
          <c:y val="0.132882597022211"/>
          <c:w val="0.459081312410842"/>
          <c:h val="0.785491823285331"/>
        </c:manualLayout>
      </c:layout>
      <c:pieChart>
        <c:varyColors val="1"/>
        <c:ser>
          <c:idx val="0"/>
          <c:order val="0"/>
          <c:tx>
            <c:strRef>
              <c:f>Sheet1!$B$1</c:f>
              <c:strCache>
                <c:ptCount val="1"/>
                <c:pt idx="0">
                  <c:v>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385.22</c:v>
                </c:pt>
                <c:pt idx="1">
                  <c:v>0.23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71250537172325"/>
          <c:y val="0.162470607788304"/>
          <c:w val="0.91774607703281"/>
          <c:h val="0.652229038854806"/>
        </c:manualLayout>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512.88</c:v>
                </c:pt>
                <c:pt idx="1">
                  <c:v>512.88</c:v>
                </c:pt>
              </c:numCache>
            </c:numRef>
          </c:val>
        </c:ser>
        <c:ser>
          <c:idx val="1"/>
          <c:order val="1"/>
          <c:tx>
            <c:strRef>
              <c:f>Sheet1!$C$1</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385.22</c:v>
                </c:pt>
                <c:pt idx="1">
                  <c:v>490.88</c:v>
                </c:pt>
              </c:numCache>
            </c:numRef>
          </c:val>
        </c:ser>
        <c:dLbls>
          <c:showLegendKey val="0"/>
          <c:showVal val="1"/>
          <c:showCatName val="0"/>
          <c:showSerName val="0"/>
          <c:showPercent val="0"/>
          <c:showBubbleSize val="0"/>
        </c:dLbls>
        <c:gapWidth val="219"/>
        <c:overlap val="-27"/>
        <c:axId val="644025718"/>
        <c:axId val="37693052"/>
      </c:barChart>
      <c:catAx>
        <c:axId val="6440257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693052"/>
        <c:crosses val="autoZero"/>
        <c:auto val="1"/>
        <c:lblAlgn val="ctr"/>
        <c:lblOffset val="100"/>
        <c:noMultiLvlLbl val="0"/>
      </c:catAx>
      <c:valAx>
        <c:axId val="376930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402571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8575"/>
          <c:y val="0.205114833049296"/>
          <c:w val="0.927925"/>
          <c:h val="0.716566666666667"/>
        </c:manualLayout>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2018年</c:v>
                </c:pt>
                <c:pt idx="1">
                  <c:v>2019年</c:v>
                </c:pt>
              </c:strCache>
            </c:strRef>
          </c:cat>
          <c:val>
            <c:numRef>
              <c:f>Sheet1!$B$2:$B$3</c:f>
              <c:numCache>
                <c:formatCode>General</c:formatCode>
                <c:ptCount val="2"/>
                <c:pt idx="0">
                  <c:v>507.97</c:v>
                </c:pt>
                <c:pt idx="1">
                  <c:v>490.88</c:v>
                </c:pt>
              </c:numCache>
            </c:numRef>
          </c:val>
        </c:ser>
        <c:dLbls>
          <c:showLegendKey val="0"/>
          <c:showVal val="1"/>
          <c:showCatName val="0"/>
          <c:showSerName val="0"/>
          <c:showPercent val="0"/>
          <c:showBubbleSize val="0"/>
        </c:dLbls>
        <c:gapWidth val="219"/>
        <c:overlap val="-27"/>
        <c:axId val="587032777"/>
        <c:axId val="934479862"/>
      </c:barChart>
      <c:catAx>
        <c:axId val="58703277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4479862"/>
        <c:crosses val="autoZero"/>
        <c:auto val="1"/>
        <c:lblAlgn val="ctr"/>
        <c:lblOffset val="100"/>
        <c:noMultiLvlLbl val="0"/>
      </c:catAx>
      <c:valAx>
        <c:axId val="9344798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03277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社会保障和就业支出</c:v>
                </c:pt>
                <c:pt idx="1">
                  <c:v>卫生健康支出</c:v>
                </c:pt>
                <c:pt idx="2">
                  <c:v>商业服务业等支出</c:v>
                </c:pt>
                <c:pt idx="3">
                  <c:v>住房保障支出</c:v>
                </c:pt>
              </c:strCache>
            </c:strRef>
          </c:cat>
          <c:val>
            <c:numRef>
              <c:f>Sheet1!$B$2:$B$5</c:f>
              <c:numCache>
                <c:formatCode>General</c:formatCode>
                <c:ptCount val="4"/>
                <c:pt idx="0">
                  <c:v>44.57</c:v>
                </c:pt>
                <c:pt idx="1">
                  <c:v>20.8</c:v>
                </c:pt>
                <c:pt idx="2">
                  <c:v>399.18</c:v>
                </c:pt>
                <c:pt idx="3">
                  <c:v>26.33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123533007334963"/>
          <c:y val="0.006666666666666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22.48</c:v>
                </c:pt>
                <c:pt idx="2">
                  <c:v>1.09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3</TotalTime>
  <ScaleCrop>false</ScaleCrop>
  <LinksUpToDate>false</LinksUpToDate>
  <CharactersWithSpaces>8587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碎碎念</cp:lastModifiedBy>
  <cp:lastPrinted>2020-07-23T02:58:00Z</cp:lastPrinted>
  <dcterms:modified xsi:type="dcterms:W3CDTF">2020-09-23T01:58:34Z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